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28" w:lineRule="exact"/>
        <w:jc w:val="center"/>
        <w:textAlignment w:val="auto"/>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大同市生态环境</w:t>
      </w:r>
      <w:r>
        <w:rPr>
          <w:rFonts w:hint="eastAsia" w:asciiTheme="majorEastAsia" w:hAnsiTheme="majorEastAsia" w:eastAsiaTheme="majorEastAsia" w:cstheme="majorEastAsia"/>
          <w:b/>
          <w:bCs/>
          <w:sz w:val="44"/>
          <w:szCs w:val="44"/>
          <w:lang w:val="en-US" w:eastAsia="zh-CN"/>
        </w:rPr>
        <w:t>监控监测联合</w:t>
      </w:r>
      <w:r>
        <w:rPr>
          <w:rFonts w:hint="eastAsia" w:asciiTheme="majorEastAsia" w:hAnsiTheme="majorEastAsia" w:eastAsiaTheme="majorEastAsia" w:cstheme="majorEastAsia"/>
          <w:b/>
          <w:bCs/>
          <w:sz w:val="44"/>
          <w:szCs w:val="44"/>
          <w:lang w:eastAsia="zh-CN"/>
        </w:rPr>
        <w:t>中心</w:t>
      </w:r>
    </w:p>
    <w:p>
      <w:pPr>
        <w:keepNext w:val="0"/>
        <w:keepLines w:val="0"/>
        <w:pageBreakBefore w:val="0"/>
        <w:widowControl w:val="0"/>
        <w:kinsoku/>
        <w:wordWrap/>
        <w:overflowPunct/>
        <w:topLinePunct w:val="0"/>
        <w:autoSpaceDE/>
        <w:autoSpaceDN/>
        <w:bidi w:val="0"/>
        <w:adjustRightInd/>
        <w:snapToGrid/>
        <w:spacing w:line="628" w:lineRule="exact"/>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val="en-GB"/>
        </w:rPr>
        <w:t>2021</w:t>
      </w:r>
      <w:r>
        <w:rPr>
          <w:rFonts w:hint="eastAsia" w:asciiTheme="majorEastAsia" w:hAnsiTheme="majorEastAsia" w:eastAsiaTheme="majorEastAsia" w:cstheme="majorEastAsia"/>
          <w:b/>
          <w:bCs/>
          <w:sz w:val="44"/>
          <w:szCs w:val="44"/>
        </w:rPr>
        <w:t>年度决算</w:t>
      </w:r>
    </w:p>
    <w:p>
      <w:pPr>
        <w:keepNext w:val="0"/>
        <w:keepLines w:val="0"/>
        <w:pageBreakBefore w:val="0"/>
        <w:widowControl w:val="0"/>
        <w:kinsoku/>
        <w:wordWrap/>
        <w:overflowPunct/>
        <w:topLinePunct w:val="0"/>
        <w:autoSpaceDE/>
        <w:autoSpaceDN/>
        <w:bidi w:val="0"/>
        <w:adjustRightInd/>
        <w:snapToGrid/>
        <w:spacing w:line="628"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28"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第一部分  概况</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一、本</w:t>
      </w:r>
      <w:r>
        <w:rPr>
          <w:rFonts w:hint="eastAsia" w:ascii="仿宋_GB2312" w:hAnsi="仿宋_GB2312" w:eastAsia="仿宋_GB2312" w:cs="仿宋_GB2312"/>
          <w:sz w:val="32"/>
          <w:szCs w:val="32"/>
          <w:lang w:val="en-US" w:eastAsia="zh-CN"/>
        </w:rPr>
        <w:t>部门</w:t>
      </w:r>
      <w:r>
        <w:rPr>
          <w:rFonts w:hint="eastAsia" w:ascii="仿宋_GB2312" w:hAnsi="仿宋_GB2312" w:eastAsia="仿宋_GB2312" w:cs="仿宋_GB2312"/>
          <w:sz w:val="32"/>
          <w:szCs w:val="32"/>
        </w:rPr>
        <w:t>职责</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二、机构设置情况</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Times New Roman" w:hAnsi="Times New Roman" w:eastAsia="楷体" w:cs="Times New Roman"/>
          <w:sz w:val="32"/>
          <w:szCs w:val="32"/>
          <w:lang w:val="en-US" w:eastAsia="zh-CN"/>
        </w:rPr>
      </w:pPr>
      <w:r>
        <w:rPr>
          <w:rFonts w:hint="default" w:ascii="Times New Roman" w:hAnsi="Times New Roman" w:eastAsia="黑体" w:cs="Times New Roman"/>
          <w:sz w:val="32"/>
          <w:szCs w:val="32"/>
        </w:rPr>
        <w:t xml:space="preserve">第二部分  </w:t>
      </w:r>
      <w:r>
        <w:rPr>
          <w:rFonts w:hint="eastAsia" w:ascii="Times New Roman" w:hAnsi="Times New Roman" w:eastAsia="黑体" w:cs="Times New Roman"/>
          <w:sz w:val="32"/>
          <w:szCs w:val="32"/>
          <w:lang w:val="en-US" w:eastAsia="zh-CN"/>
        </w:rPr>
        <w:t>2021</w:t>
      </w:r>
      <w:r>
        <w:rPr>
          <w:rFonts w:hint="default" w:ascii="Times New Roman" w:hAnsi="Times New Roman" w:eastAsia="黑体" w:cs="Times New Roman"/>
          <w:sz w:val="32"/>
          <w:szCs w:val="32"/>
        </w:rPr>
        <w:t>年度部门决算报表</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二、收入决算表</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三、支出决算表</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楷体" w:eastAsia="仿宋_GB2312"/>
          <w:sz w:val="32"/>
          <w:szCs w:val="32"/>
          <w:lang w:val="en-US" w:eastAsia="zh-CN"/>
        </w:rPr>
      </w:pPr>
      <w:r>
        <w:rPr>
          <w:rFonts w:hint="default" w:ascii="仿宋_GB2312" w:hAnsi="仿宋_GB2312" w:eastAsia="仿宋_GB2312" w:cs="仿宋_GB2312"/>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五、一般公共预算财政拨款支出决算表（一）</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六、一般公共预算财政拨款支出决算表（二）</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九、国有资本经营预算财政拨款支出决算表</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十、部门决算公开相关信息统计表</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Times New Roman" w:hAnsi="Times New Roman" w:eastAsia="楷体" w:cs="Times New Roman"/>
          <w:sz w:val="32"/>
          <w:szCs w:val="32"/>
          <w:lang w:val="en-US" w:eastAsia="zh-CN"/>
        </w:rPr>
      </w:pPr>
      <w:r>
        <w:rPr>
          <w:rFonts w:hint="default"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lang w:val="en-US" w:eastAsia="zh-CN"/>
        </w:rPr>
        <w:t>2021</w:t>
      </w:r>
      <w:r>
        <w:rPr>
          <w:rFonts w:hint="default" w:ascii="Times New Roman" w:hAnsi="Times New Roman" w:eastAsia="黑体" w:cs="Times New Roman"/>
          <w:sz w:val="32"/>
          <w:szCs w:val="32"/>
        </w:rPr>
        <w:t>年度部门决算情况说明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二、收入决算情况说明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（一）财政拨款支出决算总体情况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（二）财政拨款支出决算结构情况</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（三）财政拨款支出决算具体情况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七、一般公共预算财政拨款“三公”经费支出决算情况说</w:t>
      </w:r>
      <w:r>
        <w:rPr>
          <w:rFonts w:hint="eastAsia" w:ascii="仿宋_GB2312" w:hAnsi="仿宋_GB2312" w:eastAsia="仿宋_GB2312" w:cs="仿宋_GB2312"/>
          <w:sz w:val="32"/>
          <w:szCs w:val="32"/>
          <w:lang w:eastAsia="zh-CN"/>
        </w:rPr>
        <w:t>　　　　</w:t>
      </w:r>
      <w:r>
        <w:rPr>
          <w:rFonts w:hint="default" w:ascii="仿宋_GB2312" w:hAnsi="仿宋_GB2312" w:eastAsia="仿宋_GB2312" w:cs="仿宋_GB2312"/>
          <w:sz w:val="32"/>
          <w:szCs w:val="32"/>
        </w:rPr>
        <w:t>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（一）“三公”经费财政拨款支出决算总体情况说明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（二）“三公”经费财政拨款支出决算具体情况说明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八、其他重要事项情况说明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default" w:ascii="仿宋_GB2312" w:hAnsi="仿宋_GB2312" w:eastAsia="仿宋_GB2312" w:cs="仿宋_GB2312"/>
          <w:sz w:val="32"/>
          <w:szCs w:val="32"/>
        </w:rPr>
        <w:t>）预算绩效情况说明</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default" w:ascii="仿宋_GB2312" w:hAnsi="仿宋_GB2312" w:eastAsia="仿宋_GB2312" w:cs="仿宋_GB2312"/>
          <w:sz w:val="32"/>
          <w:szCs w:val="32"/>
        </w:rPr>
        <w:t>）其他需要说明的事项</w:t>
      </w:r>
    </w:p>
    <w:p>
      <w:pPr>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仿宋_GB2312" w:hAnsi="楷体" w:eastAsia="仿宋_GB2312"/>
          <w:sz w:val="32"/>
          <w:szCs w:val="32"/>
          <w:lang w:val="en-US" w:eastAsia="zh-CN"/>
        </w:rPr>
      </w:pPr>
      <w:r>
        <w:rPr>
          <w:rFonts w:hint="eastAsia" w:ascii="仿宋_GB2312" w:hAnsi="仿宋_GB2312" w:eastAsia="仿宋_GB2312" w:cs="仿宋_GB2312"/>
          <w:sz w:val="32"/>
          <w:szCs w:val="32"/>
          <w:lang w:eastAsia="zh-CN"/>
        </w:rPr>
        <w:t>　</w:t>
      </w:r>
      <w:r>
        <w:rPr>
          <w:rFonts w:hint="default" w:ascii="Times New Roman" w:hAnsi="Times New Roman" w:eastAsia="黑体" w:cs="Times New Roman"/>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240" w:lineRule="auto"/>
        <w:ind w:firstLine="0"/>
        <w:jc w:val="both"/>
        <w:textAlignment w:val="auto"/>
        <w:rPr>
          <w:rFonts w:hint="eastAsia" w:asciiTheme="majorEastAsia" w:hAnsiTheme="majorEastAsia" w:eastAsiaTheme="majorEastAsia" w:cstheme="majorEastAsia"/>
          <w:b/>
          <w:bCs/>
          <w:sz w:val="40"/>
          <w:szCs w:val="40"/>
          <w:lang w:eastAsia="zh-CN"/>
        </w:rPr>
      </w:pPr>
      <w:r>
        <w:rPr>
          <w:rFonts w:hint="eastAsia" w:ascii="Times New Roman" w:hAnsi="Times New Roman" w:eastAsia="黑体" w:cs="Times New Roman"/>
          <w:sz w:val="32"/>
          <w:szCs w:val="32"/>
          <w:lang w:eastAsia="zh-CN"/>
        </w:rPr>
        <w:t>　</w:t>
      </w:r>
      <w:r>
        <w:rPr>
          <w:rFonts w:hint="default" w:ascii="Times New Roman" w:hAnsi="Times New Roman" w:eastAsia="黑体" w:cs="Times New Roman"/>
          <w:sz w:val="32"/>
          <w:szCs w:val="32"/>
        </w:rPr>
        <w:t>第五部分  附件</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asciiTheme="majorEastAsia" w:hAnsiTheme="majorEastAsia" w:eastAsiaTheme="majorEastAsia" w:cstheme="majorEastAsia"/>
          <w:b/>
          <w:bCs/>
          <w:sz w:val="40"/>
          <w:szCs w:val="40"/>
          <w:lang w:eastAsia="zh-CN"/>
        </w:rPr>
      </w:pPr>
    </w:p>
    <w:p>
      <w:pPr>
        <w:keepNext w:val="0"/>
        <w:keepLines w:val="0"/>
        <w:pageBreakBefore w:val="0"/>
        <w:widowControl w:val="0"/>
        <w:kinsoku/>
        <w:wordWrap/>
        <w:overflowPunct/>
        <w:topLinePunct w:val="0"/>
        <w:autoSpaceDE/>
        <w:autoSpaceDN/>
        <w:bidi w:val="0"/>
        <w:adjustRightInd/>
        <w:snapToGrid/>
        <w:spacing w:line="628" w:lineRule="exact"/>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628"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　　　　</w:t>
      </w:r>
    </w:p>
    <w:p>
      <w:pPr>
        <w:keepNext w:val="0"/>
        <w:keepLines w:val="0"/>
        <w:pageBreakBefore w:val="0"/>
        <w:widowControl w:val="0"/>
        <w:kinsoku/>
        <w:wordWrap/>
        <w:overflowPunct/>
        <w:topLinePunct w:val="0"/>
        <w:autoSpaceDE/>
        <w:autoSpaceDN/>
        <w:bidi w:val="0"/>
        <w:adjustRightInd/>
        <w:snapToGrid/>
        <w:spacing w:line="628" w:lineRule="exact"/>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628" w:lineRule="exact"/>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628" w:lineRule="exact"/>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628" w:lineRule="exact"/>
        <w:textAlignment w:val="auto"/>
        <w:rPr>
          <w:rFonts w:hint="eastAsia" w:ascii="黑体" w:hAnsi="黑体" w:eastAsia="黑体" w:cs="黑体"/>
          <w:sz w:val="32"/>
          <w:szCs w:val="32"/>
        </w:rPr>
      </w:pPr>
      <w:r>
        <w:rPr>
          <w:rFonts w:hint="eastAsia" w:ascii="黑体" w:hAnsi="黑体" w:eastAsia="黑体" w:cs="黑体"/>
          <w:sz w:val="32"/>
          <w:szCs w:val="32"/>
          <w:lang w:eastAsia="zh-CN"/>
        </w:rPr>
        <w:t>　　</w:t>
      </w:r>
      <w:r>
        <w:rPr>
          <w:rFonts w:hint="eastAsia" w:ascii="黑体" w:hAnsi="黑体" w:eastAsia="黑体" w:cs="黑体"/>
          <w:sz w:val="32"/>
          <w:szCs w:val="32"/>
        </w:rPr>
        <w:t>第一部分  概</w:t>
      </w:r>
      <w:r>
        <w:rPr>
          <w:rFonts w:hint="eastAsia" w:ascii="黑体" w:hAnsi="黑体" w:eastAsia="黑体" w:cs="黑体"/>
          <w:sz w:val="32"/>
          <w:szCs w:val="32"/>
          <w:lang w:eastAsia="zh-CN"/>
        </w:rPr>
        <w:t>　</w:t>
      </w:r>
      <w:r>
        <w:rPr>
          <w:rFonts w:hint="eastAsia" w:ascii="黑体" w:hAnsi="黑体" w:eastAsia="黑体" w:cs="黑体"/>
          <w:sz w:val="32"/>
          <w:szCs w:val="32"/>
        </w:rPr>
        <w:t>况</w:t>
      </w: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一、本部门职责</w:t>
      </w:r>
    </w:p>
    <w:p>
      <w:pPr>
        <w:keepNext w:val="0"/>
        <w:keepLines w:val="0"/>
        <w:pageBreakBefore w:val="0"/>
        <w:widowControl/>
        <w:kinsoku/>
        <w:wordWrap w:val="0"/>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1、贯彻执行国家生态环境政策、规划、法律法规和规章。</w:t>
      </w:r>
    </w:p>
    <w:p>
      <w:pPr>
        <w:keepNext w:val="0"/>
        <w:keepLines w:val="0"/>
        <w:pageBreakBefore w:val="0"/>
        <w:widowControl/>
        <w:kinsoku/>
        <w:wordWrap w:val="0"/>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2、按权限负责</w:t>
      </w:r>
      <w:r>
        <w:rPr>
          <w:rFonts w:hint="eastAsia" w:ascii="仿宋" w:hAnsi="仿宋" w:eastAsia="仿宋" w:cs="仿宋"/>
          <w:sz w:val="30"/>
          <w:szCs w:val="30"/>
          <w:lang w:val="en-US" w:eastAsia="zh-CN"/>
        </w:rPr>
        <w:t>承担全市污染源监督性自动监控监测工作</w:t>
      </w:r>
      <w:r>
        <w:rPr>
          <w:rFonts w:hint="eastAsia" w:ascii="仿宋" w:hAnsi="仿宋" w:eastAsia="仿宋" w:cs="仿宋"/>
          <w:sz w:val="30"/>
          <w:szCs w:val="30"/>
        </w:rPr>
        <w:t>。</w:t>
      </w:r>
    </w:p>
    <w:p>
      <w:pPr>
        <w:keepNext w:val="0"/>
        <w:keepLines w:val="0"/>
        <w:pageBreakBefore w:val="0"/>
        <w:widowControl/>
        <w:kinsoku/>
        <w:wordWrap w:val="0"/>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、负责</w:t>
      </w:r>
      <w:r>
        <w:rPr>
          <w:rFonts w:hint="eastAsia" w:ascii="仿宋" w:hAnsi="仿宋" w:eastAsia="仿宋" w:cs="仿宋"/>
          <w:sz w:val="30"/>
          <w:szCs w:val="30"/>
          <w:lang w:val="en-US" w:eastAsia="zh-CN"/>
        </w:rPr>
        <w:t>全市在线污染</w:t>
      </w:r>
      <w:r>
        <w:rPr>
          <w:rFonts w:hint="eastAsia" w:ascii="仿宋" w:hAnsi="仿宋" w:eastAsia="仿宋" w:cs="仿宋"/>
          <w:sz w:val="30"/>
          <w:szCs w:val="30"/>
        </w:rPr>
        <w:t>监测</w:t>
      </w:r>
      <w:r>
        <w:rPr>
          <w:rFonts w:hint="eastAsia" w:ascii="仿宋" w:hAnsi="仿宋" w:eastAsia="仿宋" w:cs="仿宋"/>
          <w:sz w:val="30"/>
          <w:szCs w:val="30"/>
          <w:lang w:val="en-US" w:eastAsia="zh-CN"/>
        </w:rPr>
        <w:t>平台管理</w:t>
      </w:r>
      <w:r>
        <w:rPr>
          <w:rFonts w:hint="eastAsia" w:ascii="仿宋" w:hAnsi="仿宋" w:eastAsia="仿宋" w:cs="仿宋"/>
          <w:sz w:val="30"/>
          <w:szCs w:val="30"/>
        </w:rPr>
        <w:t>工作。</w:t>
      </w:r>
    </w:p>
    <w:p>
      <w:pPr>
        <w:keepNext w:val="0"/>
        <w:keepLines w:val="0"/>
        <w:pageBreakBefore w:val="0"/>
        <w:widowControl/>
        <w:kinsoku/>
        <w:wordWrap w:val="0"/>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w:t>
      </w:r>
      <w:r>
        <w:rPr>
          <w:rFonts w:hint="eastAsia" w:ascii="仿宋" w:hAnsi="仿宋" w:eastAsia="仿宋" w:cs="仿宋"/>
          <w:sz w:val="30"/>
          <w:szCs w:val="30"/>
          <w:lang w:val="en-US" w:eastAsia="zh-CN"/>
        </w:rPr>
        <w:t>给各监管部门提供在线监测数据</w:t>
      </w:r>
      <w:r>
        <w:rPr>
          <w:rFonts w:hint="eastAsia" w:ascii="仿宋" w:hAnsi="仿宋" w:eastAsia="仿宋" w:cs="仿宋"/>
          <w:sz w:val="30"/>
          <w:szCs w:val="30"/>
        </w:rPr>
        <w:t>。</w:t>
      </w:r>
    </w:p>
    <w:p>
      <w:pPr>
        <w:keepNext w:val="0"/>
        <w:keepLines w:val="0"/>
        <w:pageBreakBefore w:val="0"/>
        <w:widowControl/>
        <w:kinsoku/>
        <w:wordWrap w:val="0"/>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5</w:t>
      </w:r>
      <w:r>
        <w:rPr>
          <w:rFonts w:hint="eastAsia" w:ascii="仿宋" w:hAnsi="仿宋" w:eastAsia="仿宋" w:cs="仿宋"/>
          <w:sz w:val="30"/>
          <w:szCs w:val="30"/>
        </w:rPr>
        <w:t>、完成省生态环境厅、市委、市政府</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市生态环境局</w:t>
      </w:r>
      <w:r>
        <w:rPr>
          <w:rFonts w:hint="eastAsia" w:ascii="仿宋" w:hAnsi="仿宋" w:eastAsia="仿宋" w:cs="仿宋"/>
          <w:sz w:val="30"/>
          <w:szCs w:val="30"/>
        </w:rPr>
        <w:t>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628" w:lineRule="exact"/>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rPr>
        <w:t>机构设置情况</w:t>
      </w:r>
    </w:p>
    <w:p>
      <w:pPr>
        <w:keepNext w:val="0"/>
        <w:keepLines w:val="0"/>
        <w:pageBreakBefore w:val="0"/>
        <w:widowControl/>
        <w:kinsoku/>
        <w:wordWrap w:val="0"/>
        <w:overflowPunct/>
        <w:topLinePunct w:val="0"/>
        <w:autoSpaceDE/>
        <w:autoSpaceDN/>
        <w:bidi w:val="0"/>
        <w:adjustRightInd/>
        <w:snapToGrid/>
        <w:spacing w:line="240" w:lineRule="atLeast"/>
        <w:ind w:left="0" w:leftChars="0" w:firstLine="600" w:firstLineChars="200"/>
        <w:textAlignment w:val="auto"/>
        <w:rPr>
          <w:rFonts w:hint="eastAsia" w:ascii="仿宋" w:hAnsi="仿宋" w:eastAsia="仿宋" w:cs="仿宋"/>
          <w:sz w:val="32"/>
          <w:szCs w:val="32"/>
          <w:lang w:val="en-US" w:eastAsia="zh-CN"/>
        </w:rPr>
      </w:pPr>
      <w:r>
        <w:rPr>
          <w:rFonts w:hint="eastAsia" w:ascii="仿宋" w:hAnsi="仿宋" w:eastAsia="仿宋" w:cs="仿宋"/>
          <w:color w:val="000000"/>
          <w:sz w:val="30"/>
          <w:szCs w:val="30"/>
        </w:rPr>
        <w:t>大同市生态环境</w:t>
      </w:r>
      <w:r>
        <w:rPr>
          <w:rFonts w:hint="eastAsia" w:ascii="仿宋" w:hAnsi="仿宋" w:eastAsia="仿宋" w:cs="仿宋"/>
          <w:color w:val="000000"/>
          <w:sz w:val="30"/>
          <w:szCs w:val="30"/>
          <w:lang w:val="en-US" w:eastAsia="zh-CN"/>
        </w:rPr>
        <w:t>监控监测联合中心</w:t>
      </w:r>
      <w:r>
        <w:rPr>
          <w:rFonts w:hint="eastAsia" w:ascii="仿宋" w:hAnsi="仿宋" w:eastAsia="仿宋" w:cs="仿宋"/>
          <w:sz w:val="32"/>
          <w:szCs w:val="32"/>
          <w:lang w:val="en-US" w:eastAsia="zh-CN"/>
        </w:rPr>
        <w:t>属公益一类事业单位，正科级建制，核定财政拨款事业单位编制62人，实有人数</w:t>
      </w:r>
    </w:p>
    <w:p>
      <w:pPr>
        <w:keepNext w:val="0"/>
        <w:keepLines w:val="0"/>
        <w:pageBreakBefore w:val="0"/>
        <w:widowControl/>
        <w:kinsoku/>
        <w:wordWrap w:val="0"/>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100人，在市工作的人员9人，分布在七县（区）监测站91人，其中浑源县9人、灵丘县9人、广灵县13人、阳高县</w:t>
      </w:r>
    </w:p>
    <w:p>
      <w:pPr>
        <w:keepNext w:val="0"/>
        <w:keepLines w:val="0"/>
        <w:pageBreakBefore w:val="0"/>
        <w:widowControl/>
        <w:kinsoku/>
        <w:wordWrap w:val="0"/>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000000"/>
          <w:sz w:val="30"/>
          <w:szCs w:val="30"/>
        </w:rPr>
      </w:pPr>
      <w:bookmarkStart w:id="0" w:name="_GoBack"/>
      <w:bookmarkEnd w:id="0"/>
      <w:r>
        <w:rPr>
          <w:rFonts w:hint="eastAsia" w:ascii="仿宋" w:hAnsi="仿宋" w:eastAsia="仿宋" w:cs="仿宋"/>
          <w:sz w:val="32"/>
          <w:szCs w:val="32"/>
          <w:lang w:val="en-US" w:eastAsia="zh-CN"/>
        </w:rPr>
        <w:t>12人、天镇县11人、左云县21人、云州区县16人。内设机构有综合办公室、监控监测一室、二室。</w:t>
      </w:r>
    </w:p>
    <w:p>
      <w:pPr>
        <w:pStyle w:val="2"/>
        <w:rPr>
          <w:rFonts w:hint="default"/>
        </w:rPr>
      </w:pP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eastAsia" w:ascii="黑体" w:hAnsi="黑体" w:eastAsia="黑体" w:cs="黑体"/>
          <w:sz w:val="32"/>
          <w:szCs w:val="32"/>
        </w:rPr>
      </w:pPr>
      <w:r>
        <w:rPr>
          <w:rFonts w:hint="eastAsia" w:ascii="黑体" w:hAnsi="黑体" w:eastAsia="黑体" w:cs="黑体"/>
          <w:sz w:val="32"/>
          <w:szCs w:val="32"/>
        </w:rPr>
        <w:t>第二部分</w:t>
      </w:r>
      <w:r>
        <w:rPr>
          <w:rFonts w:hint="eastAsia" w:ascii="黑体" w:hAnsi="黑体" w:eastAsia="黑体" w:cs="黑体"/>
          <w:sz w:val="32"/>
          <w:szCs w:val="32"/>
          <w:lang w:eastAsia="zh-CN"/>
        </w:rPr>
        <w:t>　</w:t>
      </w:r>
      <w:r>
        <w:rPr>
          <w:rFonts w:hint="eastAsia" w:ascii="黑体" w:hAnsi="黑体" w:eastAsia="黑体" w:cs="黑体"/>
          <w:sz w:val="32"/>
          <w:szCs w:val="32"/>
          <w:lang w:val="en-US" w:eastAsia="zh-CN"/>
        </w:rPr>
        <w:t>2021</w:t>
      </w:r>
      <w:r>
        <w:rPr>
          <w:rFonts w:hint="eastAsia" w:ascii="黑体" w:hAnsi="黑体" w:eastAsia="黑体" w:cs="黑体"/>
          <w:sz w:val="32"/>
          <w:szCs w:val="32"/>
        </w:rPr>
        <w:t>年度部门决算报表</w:t>
      </w:r>
    </w:p>
    <w:p>
      <w:pPr>
        <w:keepNext w:val="0"/>
        <w:keepLines w:val="0"/>
        <w:pageBreakBefore w:val="0"/>
        <w:widowControl w:val="0"/>
        <w:numPr>
          <w:ilvl w:val="0"/>
          <w:numId w:val="1"/>
        </w:numPr>
        <w:kinsoku/>
        <w:wordWrap/>
        <w:overflowPunct/>
        <w:topLinePunct w:val="0"/>
        <w:autoSpaceDE/>
        <w:autoSpaceDN/>
        <w:bidi w:val="0"/>
        <w:adjustRightInd/>
        <w:snapToGrid/>
        <w:spacing w:line="628" w:lineRule="exact"/>
        <w:ind w:firstLine="64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收入支出决算总表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见附表）</w:t>
      </w:r>
    </w:p>
    <w:p>
      <w:pPr>
        <w:keepNext w:val="0"/>
        <w:keepLines w:val="0"/>
        <w:pageBreakBefore w:val="0"/>
        <w:widowControl w:val="0"/>
        <w:kinsoku/>
        <w:wordWrap/>
        <w:overflowPunct/>
        <w:topLinePunct w:val="0"/>
        <w:autoSpaceDE/>
        <w:autoSpaceDN/>
        <w:bidi w:val="0"/>
        <w:adjustRightInd/>
        <w:snapToGrid/>
        <w:spacing w:line="628" w:lineRule="exact"/>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default" w:ascii="仿宋_GB2312" w:hAnsi="仿宋_GB2312" w:eastAsia="仿宋_GB2312" w:cs="仿宋_GB2312"/>
          <w:sz w:val="32"/>
          <w:szCs w:val="32"/>
        </w:rPr>
        <w:t>二、收入决算表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见附表）</w:t>
      </w: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三、支出决算表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见附表）</w:t>
      </w: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四、财政拨款收入支出决算总表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见附表）</w:t>
      </w: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五、一般公共预算财政拨款支出决算表（一）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见附表）</w:t>
      </w: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六、一般公共预算财政拨款支出决算表（二）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见附表）</w:t>
      </w: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七、一般公共预算财政拨款“三公”经费支出决算表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见附表）</w:t>
      </w: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八、政府性基金预算财政拨款收入支出决算表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见附表）</w:t>
      </w: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九、国有资本经营预算财政拨款支出决算表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见说明）</w:t>
      </w:r>
    </w:p>
    <w:p>
      <w:pPr>
        <w:keepNext w:val="0"/>
        <w:keepLines w:val="0"/>
        <w:pageBreakBefore w:val="0"/>
        <w:widowControl w:val="0"/>
        <w:kinsoku/>
        <w:wordWrap/>
        <w:overflowPunct/>
        <w:topLinePunct w:val="0"/>
        <w:autoSpaceDE/>
        <w:autoSpaceDN/>
        <w:bidi w:val="0"/>
        <w:adjustRightInd/>
        <w:snapToGrid/>
        <w:spacing w:line="628" w:lineRule="exact"/>
        <w:ind w:firstLine="64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十、部门决算公开相关信息统计表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见附表）</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color w:val="FF0000"/>
          <w:sz w:val="32"/>
          <w:szCs w:val="32"/>
        </w:rPr>
      </w:pPr>
      <w:r>
        <w:rPr>
          <w:rFonts w:hint="default" w:ascii="仿宋_GB2312" w:hAnsi="仿宋_GB2312" w:eastAsia="仿宋_GB2312" w:cs="仿宋_GB2312"/>
          <w:color w:val="FF0000"/>
          <w:sz w:val="32"/>
          <w:szCs w:val="32"/>
        </w:rPr>
        <w:drawing>
          <wp:anchor distT="0" distB="0" distL="114300" distR="114300" simplePos="0" relativeHeight="251659264" behindDoc="0" locked="0" layoutInCell="1" allowOverlap="1">
            <wp:simplePos x="0" y="0"/>
            <wp:positionH relativeFrom="column">
              <wp:posOffset>231140</wp:posOffset>
            </wp:positionH>
            <wp:positionV relativeFrom="paragraph">
              <wp:posOffset>120015</wp:posOffset>
            </wp:positionV>
            <wp:extent cx="5186680" cy="1985645"/>
            <wp:effectExtent l="0" t="0" r="13970" b="1460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186680" cy="1985645"/>
                    </a:xfrm>
                    <a:prstGeom prst="rect">
                      <a:avLst/>
                    </a:prstGeom>
                    <a:noFill/>
                    <a:ln>
                      <a:noFill/>
                    </a:ln>
                  </pic:spPr>
                </pic:pic>
              </a:graphicData>
            </a:graphic>
          </wp:anchor>
        </w:drawing>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color w:val="FF0000"/>
          <w:sz w:val="32"/>
          <w:szCs w:val="32"/>
        </w:rPr>
      </w:pP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color w:val="FF0000"/>
          <w:sz w:val="32"/>
          <w:szCs w:val="32"/>
        </w:rPr>
      </w:pPr>
    </w:p>
    <w:p>
      <w:pPr>
        <w:keepNext w:val="0"/>
        <w:keepLines w:val="0"/>
        <w:pageBreakBefore w:val="0"/>
        <w:tabs>
          <w:tab w:val="left" w:pos="3012"/>
        </w:tabs>
        <w:kinsoku/>
        <w:wordWrap/>
        <w:overflowPunct/>
        <w:topLinePunct w:val="0"/>
        <w:bidi w:val="0"/>
        <w:snapToGrid/>
        <w:spacing w:line="600" w:lineRule="exact"/>
        <w:ind w:firstLine="640"/>
        <w:textAlignment w:val="auto"/>
        <w:rPr>
          <w:rFonts w:hint="default" w:ascii="Times New Roman" w:hAnsi="Times New Roman" w:eastAsia="仿宋_GB2312" w:cs="Times New Roman"/>
          <w:color w:val="FF0000"/>
          <w:sz w:val="32"/>
          <w:szCs w:val="32"/>
        </w:rPr>
      </w:pPr>
      <w:r>
        <w:rPr>
          <w:rFonts w:hint="default" w:ascii="Times New Roman" w:hAnsi="Times New Roman" w:eastAsia="仿宋_GB2312" w:cs="Times New Roman"/>
          <w:color w:val="FF0000"/>
          <w:sz w:val="32"/>
          <w:szCs w:val="32"/>
        </w:rPr>
        <w:tab/>
      </w:r>
    </w:p>
    <w:p>
      <w:pPr>
        <w:keepNext w:val="0"/>
        <w:keepLines w:val="0"/>
        <w:pageBreakBefore w:val="0"/>
        <w:tabs>
          <w:tab w:val="left" w:pos="3012"/>
        </w:tabs>
        <w:kinsoku/>
        <w:wordWrap/>
        <w:overflowPunct/>
        <w:topLinePunct w:val="0"/>
        <w:bidi w:val="0"/>
        <w:snapToGrid/>
        <w:spacing w:line="600" w:lineRule="exact"/>
        <w:ind w:firstLine="640"/>
        <w:textAlignment w:val="auto"/>
        <w:rPr>
          <w:rFonts w:hint="default" w:ascii="Times New Roman" w:hAnsi="Times New Roman" w:eastAsia="仿宋_GB2312" w:cs="Times New Roman"/>
          <w:color w:val="FF0000"/>
          <w:sz w:val="32"/>
          <w:szCs w:val="32"/>
        </w:rPr>
      </w:pPr>
    </w:p>
    <w:p>
      <w:pPr>
        <w:pStyle w:val="2"/>
        <w:ind w:left="0" w:leftChars="0" w:firstLine="0" w:firstLineChars="0"/>
        <w:rPr>
          <w:rFonts w:hint="default"/>
          <w:sz w:val="32"/>
          <w:szCs w:val="40"/>
        </w:rPr>
      </w:pPr>
    </w:p>
    <w:p>
      <w:pPr>
        <w:pStyle w:val="2"/>
        <w:ind w:left="0" w:leftChars="0" w:firstLine="0" w:firstLineChars="0"/>
        <w:rPr>
          <w:rFonts w:hint="default"/>
          <w:sz w:val="32"/>
          <w:szCs w:val="40"/>
        </w:rPr>
      </w:pPr>
      <w:r>
        <w:rPr>
          <w:rFonts w:hint="eastAsia"/>
          <w:sz w:val="32"/>
          <w:szCs w:val="40"/>
          <w:lang w:eastAsia="zh-CN"/>
        </w:rPr>
        <w:t>　　</w:t>
      </w:r>
      <w:r>
        <w:rPr>
          <w:rFonts w:hint="default"/>
          <w:sz w:val="32"/>
          <w:szCs w:val="40"/>
        </w:rPr>
        <w:t>说明：大同市生态环境监控监测联合中心</w:t>
      </w:r>
      <w:r>
        <w:rPr>
          <w:rFonts w:hint="eastAsia"/>
          <w:sz w:val="32"/>
          <w:szCs w:val="40"/>
          <w:lang w:val="en-US" w:eastAsia="zh-CN"/>
        </w:rPr>
        <w:t>于2021年</w:t>
      </w:r>
      <w:r>
        <w:rPr>
          <w:rFonts w:hint="default"/>
          <w:sz w:val="32"/>
          <w:szCs w:val="40"/>
        </w:rPr>
        <w:t>新成立，没有使用国有资本经营预算安排的支出，故本表无数据。</w:t>
      </w:r>
    </w:p>
    <w:p>
      <w:pPr>
        <w:keepNext w:val="0"/>
        <w:keepLines w:val="0"/>
        <w:pageBreakBefore w:val="0"/>
        <w:kinsoku/>
        <w:wordWrap/>
        <w:overflowPunct/>
        <w:topLinePunct w:val="0"/>
        <w:bidi w:val="0"/>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第三部分  </w:t>
      </w:r>
      <w:r>
        <w:rPr>
          <w:rFonts w:hint="eastAsia" w:ascii="黑体" w:hAnsi="黑体" w:eastAsia="黑体" w:cs="黑体"/>
          <w:sz w:val="32"/>
          <w:szCs w:val="32"/>
          <w:lang w:val="en-US" w:eastAsia="zh-CN"/>
        </w:rPr>
        <w:t>2021</w:t>
      </w:r>
      <w:r>
        <w:rPr>
          <w:rFonts w:hint="eastAsia" w:ascii="黑体" w:hAnsi="黑体" w:eastAsia="黑体" w:cs="黑体"/>
          <w:sz w:val="32"/>
          <w:szCs w:val="32"/>
        </w:rPr>
        <w:t>年度部门决算情况说明</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一、收入支出决算总体情况说明</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年度收入总计</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万元、支出总计</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万元。与</w:t>
      </w:r>
      <w:r>
        <w:rPr>
          <w:rFonts w:hint="default" w:ascii="Times New Roman" w:hAnsi="Times New Roman" w:eastAsia="仿宋_GB2312" w:cs="Times New Roman"/>
          <w:sz w:val="32"/>
          <w:szCs w:val="32"/>
          <w:lang w:eastAsia="zh-CN"/>
        </w:rPr>
        <w:t>上</w:t>
      </w:r>
      <w:r>
        <w:rPr>
          <w:rFonts w:hint="default" w:ascii="Times New Roman" w:hAnsi="Times New Roman" w:eastAsia="仿宋_GB2312" w:cs="Times New Roman"/>
          <w:sz w:val="32"/>
          <w:szCs w:val="32"/>
        </w:rPr>
        <w:t>年相比，收入总计减少</w:t>
      </w:r>
      <w:r>
        <w:rPr>
          <w:rFonts w:hint="eastAsia" w:ascii="Times New Roman" w:hAnsi="Times New Roman" w:eastAsia="仿宋_GB2312" w:cs="Times New Roman"/>
          <w:sz w:val="32"/>
          <w:szCs w:val="32"/>
          <w:lang w:val="en-US" w:eastAsia="zh-CN"/>
        </w:rPr>
        <w:t>/增加0</w:t>
      </w:r>
      <w:r>
        <w:rPr>
          <w:rFonts w:hint="default" w:ascii="Times New Roman" w:hAnsi="Times New Roman" w:eastAsia="仿宋_GB2312" w:cs="Times New Roman"/>
          <w:sz w:val="32"/>
          <w:szCs w:val="32"/>
        </w:rPr>
        <w:t>万元，下降</w:t>
      </w:r>
      <w:r>
        <w:rPr>
          <w:rFonts w:hint="eastAsia" w:ascii="Times New Roman" w:hAnsi="Times New Roman" w:eastAsia="仿宋_GB2312" w:cs="Times New Roman"/>
          <w:sz w:val="32"/>
          <w:szCs w:val="32"/>
          <w:lang w:val="en-US" w:eastAsia="zh-CN"/>
        </w:rPr>
        <w:t>/上升0万元</w:t>
      </w:r>
      <w:r>
        <w:rPr>
          <w:rFonts w:hint="default" w:ascii="Times New Roman" w:hAnsi="Times New Roman" w:eastAsia="仿宋_GB2312" w:cs="Times New Roman"/>
          <w:sz w:val="32"/>
          <w:szCs w:val="32"/>
        </w:rPr>
        <w:t>，主要原因</w:t>
      </w:r>
      <w:r>
        <w:rPr>
          <w:rFonts w:hint="eastAsia" w:ascii="Times New Roman" w:hAnsi="Times New Roman" w:eastAsia="仿宋_GB2312" w:cs="Times New Roman"/>
          <w:sz w:val="32"/>
          <w:szCs w:val="32"/>
          <w:lang w:val="en-US" w:eastAsia="zh-CN"/>
        </w:rPr>
        <w:t>是联合中心于2021年新成立</w:t>
      </w:r>
      <w:r>
        <w:rPr>
          <w:rFonts w:hint="default" w:ascii="Times New Roman" w:hAnsi="Times New Roman" w:eastAsia="仿宋_GB2312" w:cs="Times New Roman"/>
          <w:sz w:val="32"/>
          <w:szCs w:val="32"/>
        </w:rPr>
        <w:t>。支出总计减少</w:t>
      </w:r>
      <w:r>
        <w:rPr>
          <w:rFonts w:hint="eastAsia" w:ascii="Times New Roman" w:hAnsi="Times New Roman" w:eastAsia="仿宋_GB2312" w:cs="Times New Roman"/>
          <w:sz w:val="32"/>
          <w:szCs w:val="32"/>
          <w:lang w:val="en-US" w:eastAsia="zh-CN"/>
        </w:rPr>
        <w:t>/增加0</w:t>
      </w:r>
      <w:r>
        <w:rPr>
          <w:rFonts w:hint="default" w:ascii="Times New Roman" w:hAnsi="Times New Roman" w:eastAsia="仿宋_GB2312" w:cs="Times New Roman"/>
          <w:sz w:val="32"/>
          <w:szCs w:val="32"/>
        </w:rPr>
        <w:t>万元，下降</w:t>
      </w:r>
      <w:r>
        <w:rPr>
          <w:rFonts w:hint="eastAsia" w:ascii="Times New Roman" w:hAnsi="Times New Roman" w:eastAsia="仿宋_GB2312" w:cs="Times New Roman"/>
          <w:sz w:val="32"/>
          <w:szCs w:val="32"/>
          <w:lang w:val="en-US" w:eastAsia="zh-CN"/>
        </w:rPr>
        <w:t>/上升0万元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主要原因</w:t>
      </w:r>
      <w:r>
        <w:rPr>
          <w:rFonts w:hint="eastAsia" w:ascii="Times New Roman" w:hAnsi="Times New Roman" w:eastAsia="仿宋_GB2312" w:cs="Times New Roman"/>
          <w:sz w:val="32"/>
          <w:szCs w:val="32"/>
          <w:lang w:val="en-US" w:eastAsia="zh-CN"/>
        </w:rPr>
        <w:t>是联合中心于2021年新成立</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snapToGrid/>
        <w:spacing w:line="600" w:lineRule="exact"/>
        <w:ind w:firstLine="640"/>
        <w:textAlignment w:val="auto"/>
        <w:outlineLvl w:val="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二、收入决算情况说明</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年度收入合计</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万元，其中：财政拨款收入</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%；上级补助收入</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%；事业收入</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%；经营收入</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%；附属单位上缴收入</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%；其他收入</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三、支出决算情况说明</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年度支出合计</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%；项目支出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%；上缴上级支出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%，经营支出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对附属单位补助支出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四、财政拨款收入支出决算总体情况说明</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年度财政拨款收入总计</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万元、支出总计</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万元。与</w:t>
      </w:r>
      <w:r>
        <w:rPr>
          <w:rFonts w:hint="default" w:ascii="Times New Roman" w:hAnsi="Times New Roman" w:eastAsia="仿宋_GB2312" w:cs="Times New Roman"/>
          <w:sz w:val="32"/>
          <w:szCs w:val="32"/>
          <w:lang w:eastAsia="zh-CN"/>
        </w:rPr>
        <w:t>上</w:t>
      </w:r>
      <w:r>
        <w:rPr>
          <w:rFonts w:hint="default" w:ascii="Times New Roman" w:hAnsi="Times New Roman" w:eastAsia="仿宋_GB2312" w:cs="Times New Roman"/>
          <w:sz w:val="32"/>
          <w:szCs w:val="32"/>
        </w:rPr>
        <w:t>年相比，财政拨款收入总计减少</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万元，下降</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%，财政拨款支出总计减少</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万元，下降</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lang w:val="en-US" w:eastAsia="zh-CN"/>
        </w:rPr>
        <w:t>联合中心于2021年新成立</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五、一般公共预算财政拨款支出决算情况说明</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（一）财政拨款支出决算总体情况</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年度财政拨款支出</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万元，占本年支出合计的</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%。与</w:t>
      </w:r>
      <w:r>
        <w:rPr>
          <w:rFonts w:hint="default" w:ascii="Times New Roman" w:hAnsi="Times New Roman" w:eastAsia="仿宋_GB2312" w:cs="Times New Roman"/>
          <w:sz w:val="32"/>
          <w:szCs w:val="32"/>
          <w:lang w:eastAsia="zh-CN"/>
        </w:rPr>
        <w:t>上</w:t>
      </w:r>
      <w:r>
        <w:rPr>
          <w:rFonts w:hint="default" w:ascii="Times New Roman" w:hAnsi="Times New Roman" w:eastAsia="仿宋_GB2312" w:cs="Times New Roman"/>
          <w:sz w:val="32"/>
          <w:szCs w:val="32"/>
        </w:rPr>
        <w:t>年相比，财政拨款支出减少</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万元，下降</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lang w:val="en-US" w:eastAsia="zh-CN"/>
        </w:rPr>
        <w:t>联合中心于2021年新成立</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其中，人员经费</w:t>
      </w:r>
      <w:r>
        <w:rPr>
          <w:rFonts w:hint="eastAsia" w:ascii="仿宋" w:hAnsi="仿宋" w:eastAsia="仿宋" w:cs="仿宋"/>
          <w:sz w:val="30"/>
          <w:szCs w:val="30"/>
          <w:lang w:val="en-US" w:eastAsia="zh-CN"/>
        </w:rPr>
        <w:t>931.9</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96.29</w:t>
      </w:r>
      <w:r>
        <w:rPr>
          <w:rFonts w:hint="default" w:ascii="Times New Roman" w:hAnsi="Times New Roman" w:eastAsia="仿宋_GB2312" w:cs="Times New Roman"/>
          <w:sz w:val="32"/>
          <w:szCs w:val="32"/>
        </w:rPr>
        <w:t>%，日常公用经费</w:t>
      </w:r>
      <w:r>
        <w:rPr>
          <w:rFonts w:hint="eastAsia" w:ascii="仿宋" w:hAnsi="仿宋" w:eastAsia="仿宋" w:cs="仿宋"/>
          <w:sz w:val="30"/>
          <w:szCs w:val="30"/>
          <w:lang w:val="en-US" w:eastAsia="zh-CN"/>
        </w:rPr>
        <w:t>35.8</w:t>
      </w:r>
      <w:r>
        <w:rPr>
          <w:rFonts w:hint="default" w:ascii="Times New Roman" w:hAnsi="Times New Roman" w:eastAsia="仿宋_GB2312" w:cs="Times New Roman"/>
          <w:sz w:val="32"/>
          <w:szCs w:val="32"/>
        </w:rPr>
        <w:t>万元，占比</w:t>
      </w:r>
      <w:r>
        <w:rPr>
          <w:rFonts w:hint="eastAsia" w:ascii="Times New Roman" w:hAnsi="Times New Roman" w:eastAsia="仿宋_GB2312" w:cs="Times New Roman"/>
          <w:sz w:val="32"/>
          <w:szCs w:val="32"/>
          <w:lang w:val="en-US" w:eastAsia="zh-CN"/>
        </w:rPr>
        <w:t>0.04</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（二）财政拨款支出决算结构情况</w:t>
      </w:r>
    </w:p>
    <w:p>
      <w:pPr>
        <w:keepNext w:val="0"/>
        <w:keepLines w:val="0"/>
        <w:pageBreakBefore w:val="0"/>
        <w:kinsoku/>
        <w:wordWrap/>
        <w:overflowPunct/>
        <w:topLinePunct w:val="0"/>
        <w:bidi w:val="0"/>
        <w:snapToGrid/>
        <w:spacing w:line="600" w:lineRule="exact"/>
        <w:ind w:firstLine="64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年度财政拨款支出</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万元，主要用于以下方面：</w:t>
      </w:r>
      <w:r>
        <w:rPr>
          <w:rFonts w:hint="default" w:ascii="Times New Roman" w:hAnsi="Times New Roman" w:eastAsia="仿宋_GB2312" w:cs="Times New Roman"/>
          <w:b w:val="0"/>
          <w:bCs/>
          <w:sz w:val="32"/>
          <w:szCs w:val="32"/>
        </w:rPr>
        <w:t>一般公共服务（类）支出</w:t>
      </w:r>
      <w:r>
        <w:rPr>
          <w:rFonts w:hint="eastAsia" w:ascii="Times New Roman" w:hAnsi="Times New Roman" w:eastAsia="仿宋_GB2312" w:cs="Times New Roman"/>
          <w:b w:val="0"/>
          <w:bCs/>
          <w:sz w:val="32"/>
          <w:szCs w:val="32"/>
          <w:lang w:val="en-US" w:eastAsia="zh-CN"/>
        </w:rPr>
        <w:t>967.79</w:t>
      </w:r>
      <w:r>
        <w:rPr>
          <w:rFonts w:hint="default" w:ascii="Times New Roman" w:hAnsi="Times New Roman" w:eastAsia="仿宋_GB2312" w:cs="Times New Roman"/>
          <w:b w:val="0"/>
          <w:bCs/>
          <w:sz w:val="32"/>
          <w:szCs w:val="32"/>
        </w:rPr>
        <w:t>万元，占</w:t>
      </w:r>
      <w:r>
        <w:rPr>
          <w:rFonts w:hint="eastAsia" w:ascii="Times New Roman" w:hAnsi="Times New Roman" w:eastAsia="仿宋_GB2312" w:cs="Times New Roman"/>
          <w:b w:val="0"/>
          <w:bCs/>
          <w:sz w:val="32"/>
          <w:szCs w:val="32"/>
          <w:lang w:val="en-US" w:eastAsia="zh-CN"/>
        </w:rPr>
        <w:t>100</w:t>
      </w:r>
      <w:r>
        <w:rPr>
          <w:rFonts w:hint="default" w:ascii="Times New Roman" w:hAnsi="Times New Roman" w:eastAsia="仿宋_GB2312" w:cs="Times New Roman"/>
          <w:b w:val="0"/>
          <w:bCs/>
          <w:sz w:val="32"/>
          <w:szCs w:val="32"/>
        </w:rPr>
        <w:t>%</w:t>
      </w:r>
      <w:r>
        <w:rPr>
          <w:rFonts w:hint="eastAsia" w:ascii="Times New Roman" w:hAnsi="Times New Roman" w:eastAsia="仿宋_GB2312" w:cs="Times New Roman"/>
          <w:b w:val="0"/>
          <w:bCs/>
          <w:sz w:val="32"/>
          <w:szCs w:val="32"/>
          <w:lang w:eastAsia="zh-CN"/>
        </w:rPr>
        <w:t>；</w:t>
      </w:r>
      <w:r>
        <w:rPr>
          <w:rFonts w:hint="default" w:ascii="Times New Roman" w:hAnsi="Times New Roman" w:eastAsia="仿宋_GB2312" w:cs="Times New Roman"/>
          <w:b/>
          <w:bCs/>
          <w:sz w:val="32"/>
          <w:szCs w:val="32"/>
        </w:rPr>
        <w:t>外交（类）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国防（类）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公共安全（类）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XX%；</w:t>
      </w:r>
      <w:r>
        <w:rPr>
          <w:rFonts w:hint="default" w:ascii="Times New Roman" w:hAnsi="Times New Roman" w:eastAsia="仿宋_GB2312" w:cs="Times New Roman"/>
          <w:b/>
          <w:sz w:val="32"/>
          <w:szCs w:val="32"/>
        </w:rPr>
        <w:t>教育（类）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XX%；</w:t>
      </w:r>
      <w:r>
        <w:rPr>
          <w:rFonts w:hint="default" w:ascii="Times New Roman" w:hAnsi="Times New Roman" w:eastAsia="仿宋_GB2312" w:cs="Times New Roman"/>
          <w:b/>
          <w:sz w:val="32"/>
          <w:szCs w:val="32"/>
        </w:rPr>
        <w:t>科学技术（类）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文化旅游体育与传媒（类）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社会保障和就业（类）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卫生健康（类）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节能环保（类）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城乡社区（类）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农林水（类）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交通运输（类）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资源勘探工业信息等（类）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商业服务业等（类）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金融（类）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援助其他地区（类）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自然资源海洋气象等（类）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住房保障（类）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粮油物资储备（类）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国有资本经营预算（类）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灾害防治及应急管理（类）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其他（类）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债务还本（类）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债务付息（类）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抗疫特别国债安排（类）</w:t>
      </w:r>
      <w:r>
        <w:rPr>
          <w:rFonts w:hint="default"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（三）财政拨款支出决算具体情况</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年度财政拨款支出年初预算</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万元，支出决算</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万元，完成年初预算的</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一般公共服务支出年初预算</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万元，支出决算</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万元完成年初预算的</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%，用于</w:t>
      </w:r>
      <w:r>
        <w:rPr>
          <w:rFonts w:hint="eastAsia" w:ascii="Times New Roman" w:hAnsi="Times New Roman" w:eastAsia="仿宋_GB2312" w:cs="Times New Roman"/>
          <w:sz w:val="32"/>
          <w:szCs w:val="32"/>
          <w:lang w:val="en-US" w:eastAsia="zh-CN"/>
        </w:rPr>
        <w:t>社会保障和就业支出、卫生健康支出、节能环保支出、住房保障支出</w:t>
      </w:r>
      <w:r>
        <w:rPr>
          <w:rFonts w:hint="default" w:ascii="Times New Roman" w:hAnsi="Times New Roman" w:eastAsia="仿宋_GB2312" w:cs="Times New Roman"/>
          <w:sz w:val="32"/>
          <w:szCs w:val="32"/>
        </w:rPr>
        <w:t>。较</w:t>
      </w:r>
      <w:r>
        <w:rPr>
          <w:rFonts w:hint="default" w:ascii="Times New Roman" w:hAnsi="Times New Roman" w:eastAsia="仿宋_GB2312" w:cs="Times New Roman"/>
          <w:sz w:val="32"/>
          <w:szCs w:val="32"/>
          <w:lang w:eastAsia="zh-CN"/>
        </w:rPr>
        <w:t>上</w:t>
      </w:r>
      <w:r>
        <w:rPr>
          <w:rFonts w:hint="default" w:ascii="Times New Roman" w:hAnsi="Times New Roman" w:eastAsia="仿宋_GB2312" w:cs="Times New Roman"/>
          <w:sz w:val="32"/>
          <w:szCs w:val="32"/>
        </w:rPr>
        <w:t>年决算增加（减少）</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万元，增长（下降）</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%，主要原因</w:t>
      </w:r>
      <w:r>
        <w:rPr>
          <w:rFonts w:hint="eastAsia" w:ascii="Times New Roman" w:hAnsi="Times New Roman" w:eastAsia="仿宋_GB2312" w:cs="Times New Roman"/>
          <w:sz w:val="32"/>
          <w:szCs w:val="32"/>
          <w:lang w:val="en-US" w:eastAsia="zh-CN"/>
        </w:rPr>
        <w:t>是联合中心于2021年新成立</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六、一般公共预算财政拨款基本支出决算情况说明</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rPr>
        <w:t>年度财政拨款基本支出</w:t>
      </w:r>
      <w:r>
        <w:rPr>
          <w:rFonts w:hint="eastAsia" w:ascii="Times New Roman" w:hAnsi="Times New Roman" w:eastAsia="仿宋_GB2312" w:cs="Times New Roman"/>
          <w:sz w:val="32"/>
          <w:szCs w:val="32"/>
          <w:lang w:val="en-US" w:eastAsia="zh-CN"/>
        </w:rPr>
        <w:t>967.79</w:t>
      </w:r>
      <w:r>
        <w:rPr>
          <w:rFonts w:hint="default" w:ascii="Times New Roman" w:hAnsi="Times New Roman" w:eastAsia="仿宋_GB2312" w:cs="Times New Roman"/>
          <w:sz w:val="32"/>
          <w:szCs w:val="32"/>
        </w:rPr>
        <w:t>万元，其中：人员经费</w:t>
      </w:r>
      <w:r>
        <w:rPr>
          <w:rFonts w:hint="eastAsia" w:ascii="仿宋" w:hAnsi="仿宋" w:eastAsia="仿宋" w:cs="仿宋"/>
          <w:sz w:val="30"/>
          <w:szCs w:val="30"/>
          <w:lang w:val="en-US" w:eastAsia="zh-CN"/>
        </w:rPr>
        <w:t>931.9</w:t>
      </w:r>
      <w:r>
        <w:rPr>
          <w:rFonts w:hint="default" w:ascii="Times New Roman" w:hAnsi="Times New Roman" w:eastAsia="仿宋_GB2312" w:cs="Times New Roman"/>
          <w:sz w:val="32"/>
          <w:szCs w:val="32"/>
        </w:rPr>
        <w:t>万元，主要包括</w:t>
      </w:r>
      <w:r>
        <w:rPr>
          <w:rFonts w:hint="eastAsia" w:ascii="Times New Roman" w:hAnsi="Times New Roman" w:eastAsia="仿宋_GB2312" w:cs="Times New Roman"/>
          <w:sz w:val="32"/>
          <w:szCs w:val="32"/>
          <w:lang w:val="en-US" w:eastAsia="zh-CN"/>
        </w:rPr>
        <w:t>基本工资、津贴补贴、奖金、绩效工资、机关事业单位基本养老保险缴费、职工基本医疗保险缴费、其他社会保障缴费、住房公积金、其他工资福利支出、退休费、独子费</w:t>
      </w:r>
      <w:r>
        <w:rPr>
          <w:rFonts w:hint="default" w:ascii="Times New Roman" w:hAnsi="Times New Roman" w:eastAsia="仿宋_GB2312" w:cs="Times New Roman"/>
          <w:sz w:val="32"/>
          <w:szCs w:val="32"/>
        </w:rPr>
        <w:t>；公用经费</w:t>
      </w:r>
      <w:r>
        <w:rPr>
          <w:rFonts w:hint="eastAsia" w:ascii="Times New Roman" w:hAnsi="Times New Roman" w:eastAsia="仿宋_GB2312" w:cs="Times New Roman"/>
          <w:sz w:val="32"/>
          <w:szCs w:val="32"/>
          <w:lang w:val="en-US" w:eastAsia="zh-CN"/>
        </w:rPr>
        <w:t>35.8</w:t>
      </w:r>
      <w:r>
        <w:rPr>
          <w:rFonts w:hint="default" w:ascii="Times New Roman" w:hAnsi="Times New Roman" w:eastAsia="仿宋_GB2312" w:cs="Times New Roman"/>
          <w:sz w:val="32"/>
          <w:szCs w:val="32"/>
        </w:rPr>
        <w:t>万元，主要包括</w:t>
      </w:r>
      <w:r>
        <w:rPr>
          <w:rFonts w:hint="eastAsia" w:ascii="Times New Roman" w:hAnsi="Times New Roman" w:eastAsia="仿宋_GB2312" w:cs="Times New Roman"/>
          <w:sz w:val="32"/>
          <w:szCs w:val="32"/>
          <w:lang w:val="en-US" w:eastAsia="zh-CN"/>
        </w:rPr>
        <w:t>办公费、邮电费、差旅费、劳务费、委托业务费、工会经费、福利费、其他商品和福利支出</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bidi w:val="0"/>
        <w:snapToGrid/>
        <w:spacing w:line="600" w:lineRule="exact"/>
        <w:ind w:firstLine="640"/>
        <w:textAlignment w:val="auto"/>
        <w:outlineLvl w:val="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七、一般公共预算财政拨款“三公”经费支出决算情况说明</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color w:val="FF0000"/>
          <w:sz w:val="32"/>
          <w:szCs w:val="32"/>
          <w:lang w:val="en-US"/>
        </w:rPr>
      </w:pPr>
      <w:r>
        <w:rPr>
          <w:rFonts w:hint="eastAsia" w:ascii="Times New Roman" w:hAnsi="Times New Roman" w:eastAsia="仿宋_GB2312" w:cs="Times New Roman"/>
          <w:sz w:val="32"/>
          <w:szCs w:val="32"/>
          <w:lang w:val="en-US" w:eastAsia="zh-CN"/>
        </w:rPr>
        <w:t>联合中心于2021年新成立，没有三公经费。</w:t>
      </w:r>
    </w:p>
    <w:p>
      <w:pPr>
        <w:keepNext w:val="0"/>
        <w:keepLines w:val="0"/>
        <w:pageBreakBefore w:val="0"/>
        <w:kinsoku/>
        <w:wordWrap/>
        <w:overflowPunct/>
        <w:topLinePunct w:val="0"/>
        <w:bidi w:val="0"/>
        <w:snapToGrid/>
        <w:spacing w:line="600" w:lineRule="exact"/>
        <w:ind w:firstLine="64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八、其他重要事项情况说明</w:t>
      </w:r>
    </w:p>
    <w:p>
      <w:pPr>
        <w:keepNext w:val="0"/>
        <w:keepLines w:val="0"/>
        <w:pageBreakBefore w:val="0"/>
        <w:kinsoku/>
        <w:wordWrap/>
        <w:overflowPunct/>
        <w:topLinePunct w:val="0"/>
        <w:bidi w:val="0"/>
        <w:snapToGrid/>
        <w:spacing w:line="240" w:lineRule="auto"/>
        <w:ind w:firstLine="0"/>
        <w:textAlignment w:val="auto"/>
        <w:outlineLvl w:val="0"/>
        <w:rPr>
          <w:rFonts w:hint="default" w:ascii="Times New Roman" w:hAnsi="Times New Roman" w:eastAsia="仿宋_GB2312" w:cs="Times New Roman"/>
          <w:b/>
          <w:sz w:val="32"/>
          <w:szCs w:val="32"/>
        </w:rPr>
      </w:pPr>
      <w:r>
        <w:rPr>
          <w:rFonts w:hint="eastAsia" w:ascii="Times New Roman" w:hAnsi="Times New Roman" w:eastAsia="仿宋_GB2312" w:cs="Times New Roman"/>
          <w:b/>
          <w:sz w:val="32"/>
          <w:szCs w:val="32"/>
          <w:lang w:eastAsia="zh-CN"/>
        </w:rPr>
        <w:t>　　</w:t>
      </w:r>
      <w:r>
        <w:rPr>
          <w:rFonts w:hint="default" w:ascii="Times New Roman" w:hAnsi="Times New Roman" w:eastAsia="仿宋_GB2312" w:cs="Times New Roman"/>
          <w:b/>
          <w:sz w:val="32"/>
          <w:szCs w:val="32"/>
        </w:rPr>
        <w:t>（一）机关运行经费支出情况说明</w:t>
      </w:r>
    </w:p>
    <w:p>
      <w:pPr>
        <w:pStyle w:val="2"/>
        <w:ind w:left="0" w:leftChars="0" w:firstLine="0" w:firstLineChars="0"/>
        <w:rPr>
          <w:rFonts w:hint="default" w:eastAsia="宋体"/>
          <w:sz w:val="32"/>
          <w:szCs w:val="40"/>
          <w:lang w:val="en-US" w:eastAsia="zh-CN"/>
        </w:rPr>
      </w:pPr>
      <w:r>
        <w:rPr>
          <w:rFonts w:hint="eastAsia"/>
          <w:sz w:val="32"/>
          <w:szCs w:val="40"/>
          <w:lang w:val="en-US" w:eastAsia="zh-CN"/>
        </w:rPr>
        <w:t>　　联合中心隶属全额事业单位。</w:t>
      </w:r>
    </w:p>
    <w:p>
      <w:pPr>
        <w:keepNext w:val="0"/>
        <w:keepLines w:val="0"/>
        <w:pageBreakBefore w:val="0"/>
        <w:kinsoku/>
        <w:wordWrap/>
        <w:overflowPunct/>
        <w:topLinePunct w:val="0"/>
        <w:bidi w:val="0"/>
        <w:snapToGrid/>
        <w:spacing w:line="600" w:lineRule="exact"/>
        <w:ind w:firstLine="640"/>
        <w:textAlignment w:val="auto"/>
        <w:outlineLvl w:val="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（二）政府采购情况说明</w:t>
      </w:r>
    </w:p>
    <w:p>
      <w:pPr>
        <w:pStyle w:val="2"/>
        <w:rPr>
          <w:rFonts w:hint="default" w:eastAsia="仿宋_GB2312"/>
          <w:b w:val="0"/>
          <w:bCs/>
          <w:lang w:val="en-US" w:eastAsia="zh-CN"/>
        </w:rPr>
      </w:pPr>
      <w:r>
        <w:rPr>
          <w:rFonts w:hint="eastAsia" w:eastAsia="仿宋_GB2312" w:cs="Times New Roman"/>
          <w:b w:val="0"/>
          <w:bCs/>
          <w:sz w:val="32"/>
          <w:szCs w:val="32"/>
          <w:lang w:val="en-US" w:eastAsia="zh-CN"/>
        </w:rPr>
        <w:t>联合中心于2021年新成立，无政府采购。</w:t>
      </w:r>
    </w:p>
    <w:p>
      <w:pPr>
        <w:keepNext w:val="0"/>
        <w:keepLines w:val="0"/>
        <w:pageBreakBefore w:val="0"/>
        <w:numPr>
          <w:ilvl w:val="0"/>
          <w:numId w:val="2"/>
        </w:numPr>
        <w:kinsoku/>
        <w:wordWrap/>
        <w:overflowPunct/>
        <w:topLinePunct w:val="0"/>
        <w:bidi w:val="0"/>
        <w:snapToGrid/>
        <w:spacing w:line="600" w:lineRule="exact"/>
        <w:ind w:firstLine="643" w:firstLineChars="200"/>
        <w:textAlignment w:val="auto"/>
        <w:outlineLvl w:val="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国有资产占用情况说明</w:t>
      </w:r>
    </w:p>
    <w:p>
      <w:pPr>
        <w:pStyle w:val="2"/>
        <w:numPr>
          <w:ilvl w:val="0"/>
          <w:numId w:val="0"/>
        </w:numPr>
        <w:rPr>
          <w:rFonts w:hint="default"/>
          <w:b w:val="0"/>
          <w:bCs/>
          <w:lang w:val="en-US"/>
        </w:rPr>
      </w:pPr>
      <w:r>
        <w:rPr>
          <w:rFonts w:hint="eastAsia" w:eastAsia="仿宋_GB2312" w:cs="Times New Roman"/>
          <w:b/>
          <w:sz w:val="32"/>
          <w:szCs w:val="32"/>
          <w:lang w:val="en-US" w:eastAsia="zh-CN"/>
        </w:rPr>
        <w:t>　</w:t>
      </w:r>
      <w:r>
        <w:rPr>
          <w:rFonts w:hint="eastAsia" w:eastAsia="仿宋_GB2312" w:cs="Times New Roman"/>
          <w:b w:val="0"/>
          <w:bCs/>
          <w:sz w:val="32"/>
          <w:szCs w:val="32"/>
          <w:lang w:val="en-US" w:eastAsia="zh-CN"/>
        </w:rPr>
        <w:t>　联合中心于2021年新成立，无国有资产。</w:t>
      </w:r>
    </w:p>
    <w:p>
      <w:pPr>
        <w:keepNext w:val="0"/>
        <w:keepLines w:val="0"/>
        <w:pageBreakBefore w:val="0"/>
        <w:numPr>
          <w:ilvl w:val="0"/>
          <w:numId w:val="3"/>
        </w:numPr>
        <w:kinsoku/>
        <w:wordWrap/>
        <w:overflowPunct/>
        <w:topLinePunct w:val="0"/>
        <w:bidi w:val="0"/>
        <w:snapToGrid/>
        <w:spacing w:line="600" w:lineRule="exact"/>
        <w:ind w:firstLine="643" w:firstLineChars="200"/>
        <w:textAlignment w:val="auto"/>
        <w:outlineLvl w:val="0"/>
        <w:rPr>
          <w:rFonts w:hint="default" w:ascii="Times New Roman" w:hAnsi="Times New Roman" w:eastAsia="仿宋_GB2312" w:cs="Times New Roman"/>
          <w:b/>
          <w:sz w:val="32"/>
          <w:szCs w:val="32"/>
          <w:lang w:eastAsia="zh-CN"/>
        </w:rPr>
      </w:pPr>
      <w:r>
        <w:rPr>
          <w:rFonts w:hint="default" w:ascii="Times New Roman" w:hAnsi="Times New Roman" w:eastAsia="仿宋_GB2312" w:cs="Times New Roman"/>
          <w:b/>
          <w:sz w:val="32"/>
          <w:szCs w:val="32"/>
          <w:lang w:eastAsia="zh-CN"/>
        </w:rPr>
        <w:t>预算绩效情况说明</w:t>
      </w:r>
    </w:p>
    <w:p>
      <w:pPr>
        <w:pStyle w:val="2"/>
        <w:numPr>
          <w:ilvl w:val="0"/>
          <w:numId w:val="0"/>
        </w:numPr>
        <w:rPr>
          <w:rFonts w:hint="default"/>
          <w:b w:val="0"/>
          <w:bCs/>
          <w:lang w:val="en-US" w:eastAsia="zh-CN"/>
        </w:rPr>
      </w:pPr>
      <w:r>
        <w:rPr>
          <w:rFonts w:hint="eastAsia" w:eastAsia="仿宋_GB2312" w:cs="Times New Roman"/>
          <w:b/>
          <w:sz w:val="32"/>
          <w:szCs w:val="32"/>
          <w:lang w:val="en-US" w:eastAsia="zh-CN"/>
        </w:rPr>
        <w:t>　</w:t>
      </w:r>
      <w:r>
        <w:rPr>
          <w:rFonts w:hint="eastAsia" w:eastAsia="仿宋_GB2312" w:cs="Times New Roman"/>
          <w:b w:val="0"/>
          <w:bCs/>
          <w:sz w:val="32"/>
          <w:szCs w:val="32"/>
          <w:lang w:val="en-US" w:eastAsia="zh-CN"/>
        </w:rPr>
        <w:t>　联合中心于2021年新成立，无项目绩效。</w:t>
      </w:r>
    </w:p>
    <w:p>
      <w:pPr>
        <w:keepNext w:val="0"/>
        <w:keepLines w:val="0"/>
        <w:pageBreakBefore w:val="0"/>
        <w:kinsoku/>
        <w:wordWrap/>
        <w:overflowPunct/>
        <w:topLinePunct w:val="0"/>
        <w:bidi w:val="0"/>
        <w:snapToGrid/>
        <w:spacing w:line="600" w:lineRule="exact"/>
        <w:ind w:firstLine="643" w:firstLineChars="200"/>
        <w:textAlignment w:val="auto"/>
        <w:outlineLvl w:val="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w:t>
      </w:r>
      <w:r>
        <w:rPr>
          <w:rFonts w:hint="default" w:ascii="Times New Roman" w:hAnsi="Times New Roman" w:eastAsia="仿宋_GB2312" w:cs="Times New Roman"/>
          <w:b/>
          <w:sz w:val="32"/>
          <w:szCs w:val="32"/>
          <w:lang w:eastAsia="zh-CN"/>
        </w:rPr>
        <w:t>五</w:t>
      </w:r>
      <w:r>
        <w:rPr>
          <w:rFonts w:hint="default" w:ascii="Times New Roman" w:hAnsi="Times New Roman" w:eastAsia="仿宋_GB2312" w:cs="Times New Roman"/>
          <w:b/>
          <w:sz w:val="32"/>
          <w:szCs w:val="32"/>
        </w:rPr>
        <w:t>）其他需要说明的事项</w:t>
      </w:r>
    </w:p>
    <w:p>
      <w:pPr>
        <w:pStyle w:val="2"/>
        <w:rPr>
          <w:rFonts w:hint="eastAsia" w:eastAsia="仿宋_GB2312"/>
          <w:b w:val="0"/>
          <w:bCs/>
          <w:lang w:eastAsia="zh-CN"/>
        </w:rPr>
      </w:pPr>
      <w:r>
        <w:rPr>
          <w:rFonts w:hint="eastAsia" w:eastAsia="仿宋_GB2312" w:cs="Times New Roman"/>
          <w:b w:val="0"/>
          <w:bCs/>
          <w:sz w:val="32"/>
          <w:szCs w:val="32"/>
          <w:lang w:eastAsia="zh-CN"/>
        </w:rPr>
        <w:t>无</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黑体" w:hAnsi="黑体" w:eastAsia="黑体" w:cs="黑体"/>
          <w:kern w:val="2"/>
          <w:sz w:val="32"/>
          <w:szCs w:val="32"/>
          <w:lang w:val="en" w:eastAsia="zh-CN" w:bidi="ar-SA"/>
        </w:rPr>
        <w:t>第四部分  名词解释</w:t>
      </w:r>
    </w:p>
    <w:p>
      <w:pPr>
        <w:keepNext w:val="0"/>
        <w:keepLines w:val="0"/>
        <w:pageBreakBefore w:val="0"/>
        <w:numPr>
          <w:ilvl w:val="0"/>
          <w:numId w:val="0"/>
        </w:numPr>
        <w:kinsoku/>
        <w:wordWrap/>
        <w:overflowPunct/>
        <w:topLinePunct w:val="0"/>
        <w:bidi w:val="0"/>
        <w:snapToGrid/>
        <w:spacing w:line="60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sz w:val="32"/>
          <w:szCs w:val="32"/>
          <w:lang w:eastAsia="zh-CN"/>
        </w:rPr>
        <w:t>一、</w:t>
      </w:r>
      <w:r>
        <w:rPr>
          <w:rFonts w:hint="default" w:ascii="Times New Roman" w:hAnsi="Times New Roman" w:eastAsia="仿宋_GB2312" w:cs="Times New Roman"/>
          <w:b/>
          <w:sz w:val="32"/>
          <w:szCs w:val="32"/>
        </w:rPr>
        <w:t>财政拨款收入：</w:t>
      </w:r>
      <w:r>
        <w:rPr>
          <w:rFonts w:hint="default" w:ascii="Times New Roman" w:hAnsi="Times New Roman" w:eastAsia="仿宋_GB2312" w:cs="Times New Roman"/>
          <w:sz w:val="32"/>
          <w:szCs w:val="32"/>
        </w:rPr>
        <w:t>指单位从同级财政部门取得的财政预算资金。</w:t>
      </w:r>
    </w:p>
    <w:p>
      <w:pPr>
        <w:keepNext w:val="0"/>
        <w:keepLines w:val="0"/>
        <w:pageBreakBefore w:val="0"/>
        <w:numPr>
          <w:ilvl w:val="0"/>
          <w:numId w:val="0"/>
        </w:numPr>
        <w:kinsoku/>
        <w:wordWrap/>
        <w:overflowPunct/>
        <w:topLinePunct w:val="0"/>
        <w:bidi w:val="0"/>
        <w:snapToGrid/>
        <w:spacing w:line="60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sz w:val="32"/>
          <w:szCs w:val="32"/>
          <w:lang w:eastAsia="zh-CN"/>
        </w:rPr>
        <w:t>二、</w:t>
      </w:r>
      <w:r>
        <w:rPr>
          <w:rFonts w:hint="default" w:ascii="Times New Roman" w:hAnsi="Times New Roman" w:eastAsia="仿宋_GB2312" w:cs="Times New Roman"/>
          <w:b/>
          <w:sz w:val="32"/>
          <w:szCs w:val="32"/>
        </w:rPr>
        <w:t>其他收入：</w:t>
      </w:r>
      <w:r>
        <w:rPr>
          <w:rFonts w:hint="default" w:ascii="Times New Roman" w:hAnsi="Times New Roman" w:eastAsia="仿宋_GB2312" w:cs="Times New Roman"/>
          <w:sz w:val="32"/>
          <w:szCs w:val="32"/>
        </w:rPr>
        <w:t>指单位取得的除上述收入以外的各项收入。主要是事业单位固定资产出租收入、存款利息收入等。</w:t>
      </w:r>
    </w:p>
    <w:p>
      <w:pPr>
        <w:keepNext w:val="0"/>
        <w:keepLines w:val="0"/>
        <w:pageBreakBefore w:val="0"/>
        <w:numPr>
          <w:ilvl w:val="0"/>
          <w:numId w:val="0"/>
        </w:numPr>
        <w:kinsoku/>
        <w:wordWrap/>
        <w:overflowPunct/>
        <w:topLinePunct w:val="0"/>
        <w:bidi w:val="0"/>
        <w:snapToGrid/>
        <w:spacing w:line="60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sz w:val="32"/>
          <w:szCs w:val="32"/>
          <w:lang w:eastAsia="zh-CN"/>
        </w:rPr>
        <w:t>三、</w:t>
      </w:r>
      <w:r>
        <w:rPr>
          <w:rFonts w:hint="default" w:ascii="Times New Roman" w:hAnsi="Times New Roman" w:eastAsia="仿宋_GB2312" w:cs="Times New Roman"/>
          <w:b/>
          <w:sz w:val="32"/>
          <w:szCs w:val="32"/>
        </w:rPr>
        <w:t>年初结转和结余：</w:t>
      </w:r>
      <w:r>
        <w:rPr>
          <w:rFonts w:hint="default" w:ascii="Times New Roman" w:hAnsi="Times New Roman" w:eastAsia="仿宋_GB2312" w:cs="Times New Roman"/>
          <w:sz w:val="32"/>
          <w:szCs w:val="32"/>
        </w:rPr>
        <w:t>指单位以前年度尚未完成、结转到本年仍按原规定用途继续使用的资金，或项目已完成等产生的结余资金。</w:t>
      </w:r>
    </w:p>
    <w:p>
      <w:pPr>
        <w:keepNext w:val="0"/>
        <w:keepLines w:val="0"/>
        <w:pageBreakBefore w:val="0"/>
        <w:numPr>
          <w:ilvl w:val="0"/>
          <w:numId w:val="0"/>
        </w:numPr>
        <w:kinsoku/>
        <w:wordWrap/>
        <w:overflowPunct/>
        <w:topLinePunct w:val="0"/>
        <w:bidi w:val="0"/>
        <w:snapToGrid/>
        <w:spacing w:line="60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eastAsia="zh-CN"/>
        </w:rPr>
        <w:t>四、</w:t>
      </w:r>
      <w:r>
        <w:rPr>
          <w:rFonts w:hint="default" w:ascii="Times New Roman" w:hAnsi="Times New Roman" w:eastAsia="仿宋_GB2312" w:cs="Times New Roman"/>
          <w:b/>
          <w:bCs/>
          <w:sz w:val="32"/>
          <w:szCs w:val="32"/>
        </w:rPr>
        <w:t>结余分配：</w:t>
      </w:r>
      <w:r>
        <w:rPr>
          <w:rFonts w:hint="default" w:ascii="Times New Roman" w:hAnsi="Times New Roman" w:eastAsia="仿宋_GB2312" w:cs="Times New Roman"/>
          <w:sz w:val="32"/>
          <w:szCs w:val="32"/>
        </w:rPr>
        <w:t>指事业单位按照会计制度规定缴纳的所得税、提取的专用结余以及转入非财政拨款结余的金额等。</w:t>
      </w:r>
    </w:p>
    <w:p>
      <w:pPr>
        <w:keepNext w:val="0"/>
        <w:keepLines w:val="0"/>
        <w:pageBreakBefore w:val="0"/>
        <w:numPr>
          <w:ilvl w:val="0"/>
          <w:numId w:val="0"/>
        </w:numPr>
        <w:kinsoku/>
        <w:wordWrap/>
        <w:overflowPunct/>
        <w:topLinePunct w:val="0"/>
        <w:bidi w:val="0"/>
        <w:snapToGrid/>
        <w:spacing w:line="60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eastAsia="zh-CN"/>
        </w:rPr>
        <w:t>五、</w:t>
      </w:r>
      <w:r>
        <w:rPr>
          <w:rFonts w:hint="default" w:ascii="Times New Roman" w:hAnsi="Times New Roman" w:eastAsia="仿宋_GB2312" w:cs="Times New Roman"/>
          <w:b/>
          <w:bCs/>
          <w:sz w:val="32"/>
          <w:szCs w:val="32"/>
        </w:rPr>
        <w:t>年末结转和结余：</w:t>
      </w:r>
      <w:r>
        <w:rPr>
          <w:rFonts w:hint="default" w:ascii="Times New Roman" w:hAnsi="Times New Roman" w:eastAsia="仿宋_GB2312" w:cs="Times New Roman"/>
          <w:sz w:val="32"/>
          <w:szCs w:val="32"/>
        </w:rPr>
        <w:t>指单位按有关规定结转到下年或以后年度继续使用的资金，或项目已完成等产生的结余资金。</w:t>
      </w:r>
    </w:p>
    <w:p>
      <w:pPr>
        <w:keepNext w:val="0"/>
        <w:keepLines w:val="0"/>
        <w:pageBreakBefore w:val="0"/>
        <w:numPr>
          <w:ilvl w:val="0"/>
          <w:numId w:val="0"/>
        </w:numPr>
        <w:kinsoku/>
        <w:wordWrap/>
        <w:overflowPunct/>
        <w:topLinePunct w:val="0"/>
        <w:bidi w:val="0"/>
        <w:snapToGrid/>
        <w:spacing w:line="600" w:lineRule="exact"/>
        <w:ind w:firstLine="643" w:firstLineChars="200"/>
        <w:textAlignment w:val="auto"/>
        <w:rPr>
          <w:rFonts w:hint="default" w:ascii="Times New Roman" w:hAnsi="Times New Roman" w:eastAsia="仿宋_GB2312" w:cs="Times New Roman"/>
          <w:b/>
          <w:sz w:val="32"/>
          <w:szCs w:val="32"/>
        </w:rPr>
      </w:pPr>
      <w:r>
        <w:rPr>
          <w:rFonts w:hint="eastAsia" w:ascii="Times New Roman" w:hAnsi="Times New Roman" w:eastAsia="仿宋_GB2312" w:cs="Times New Roman"/>
          <w:b/>
          <w:sz w:val="32"/>
          <w:szCs w:val="32"/>
          <w:lang w:eastAsia="zh-CN"/>
        </w:rPr>
        <w:t>六、</w:t>
      </w:r>
      <w:r>
        <w:rPr>
          <w:rFonts w:hint="default" w:ascii="Times New Roman" w:hAnsi="Times New Roman" w:eastAsia="仿宋_GB2312" w:cs="Times New Roman"/>
          <w:b/>
          <w:sz w:val="32"/>
          <w:szCs w:val="32"/>
        </w:rPr>
        <w:t>基本支出：</w:t>
      </w:r>
      <w:r>
        <w:rPr>
          <w:rFonts w:hint="default" w:ascii="Times New Roman" w:hAnsi="Times New Roman" w:eastAsia="仿宋_GB2312" w:cs="Times New Roman"/>
          <w:sz w:val="32"/>
          <w:szCs w:val="32"/>
        </w:rPr>
        <w:t>指为保障机构正常运转、完成日常工作任务而发生的人员支出和公用支出。</w:t>
      </w:r>
    </w:p>
    <w:p>
      <w:pPr>
        <w:keepNext w:val="0"/>
        <w:keepLines w:val="0"/>
        <w:pageBreakBefore w:val="0"/>
        <w:kinsoku/>
        <w:wordWrap/>
        <w:overflowPunct/>
        <w:topLinePunct w:val="0"/>
        <w:autoSpaceDE w:val="0"/>
        <w:autoSpaceDN w:val="0"/>
        <w:bidi w:val="0"/>
        <w:adjustRightInd w:val="0"/>
        <w:snapToGrid/>
        <w:spacing w:line="60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sz w:val="32"/>
          <w:szCs w:val="32"/>
          <w:lang w:eastAsia="zh-CN"/>
        </w:rPr>
        <w:t>七、</w:t>
      </w:r>
      <w:r>
        <w:rPr>
          <w:rFonts w:hint="default" w:ascii="Times New Roman" w:hAnsi="Times New Roman" w:eastAsia="仿宋_GB2312" w:cs="Times New Roman"/>
          <w:b/>
          <w:sz w:val="32"/>
          <w:szCs w:val="32"/>
        </w:rPr>
        <w:t>项目支出：</w:t>
      </w:r>
      <w:r>
        <w:rPr>
          <w:rFonts w:hint="default" w:ascii="Times New Roman" w:hAnsi="Times New Roman" w:eastAsia="仿宋_GB2312" w:cs="Times New Roman"/>
          <w:sz w:val="32"/>
          <w:szCs w:val="32"/>
        </w:rPr>
        <w:t>指在基本支出之外为完成特定行政任务和事业发展目标所发生的支出。</w:t>
      </w:r>
    </w:p>
    <w:p>
      <w:pPr>
        <w:keepNext w:val="0"/>
        <w:keepLines w:val="0"/>
        <w:pageBreakBefore w:val="0"/>
        <w:kinsoku/>
        <w:wordWrap/>
        <w:overflowPunct/>
        <w:topLinePunct w:val="0"/>
        <w:autoSpaceDE w:val="0"/>
        <w:autoSpaceDN w:val="0"/>
        <w:bidi w:val="0"/>
        <w:adjustRightInd w:val="0"/>
        <w:snapToGrid/>
        <w:spacing w:line="60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sz w:val="32"/>
          <w:szCs w:val="32"/>
          <w:lang w:eastAsia="zh-CN"/>
        </w:rPr>
        <w:t>八、</w:t>
      </w:r>
      <w:r>
        <w:rPr>
          <w:rFonts w:hint="default" w:ascii="Times New Roman" w:hAnsi="Times New Roman" w:eastAsia="仿宋_GB2312" w:cs="Times New Roman"/>
          <w:b/>
          <w:sz w:val="32"/>
          <w:szCs w:val="32"/>
        </w:rPr>
        <w:t>“三公”经费：</w:t>
      </w:r>
      <w:r>
        <w:rPr>
          <w:rFonts w:hint="default" w:ascii="Times New Roman" w:hAnsi="Times New Roman" w:eastAsia="仿宋_GB2312" w:cs="Times New Roman"/>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val="0"/>
        <w:autoSpaceDN w:val="0"/>
        <w:bidi w:val="0"/>
        <w:adjustRightInd w:val="0"/>
        <w:snapToGrid/>
        <w:spacing w:line="60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sz w:val="32"/>
          <w:szCs w:val="32"/>
          <w:lang w:eastAsia="zh-CN"/>
        </w:rPr>
        <w:t>九、</w:t>
      </w:r>
      <w:r>
        <w:rPr>
          <w:rFonts w:hint="default" w:ascii="Times New Roman" w:hAnsi="Times New Roman" w:eastAsia="仿宋_GB2312" w:cs="Times New Roman"/>
          <w:b/>
          <w:sz w:val="32"/>
          <w:szCs w:val="32"/>
        </w:rPr>
        <w:t>机关运行经费：</w:t>
      </w:r>
      <w:r>
        <w:rPr>
          <w:rFonts w:hint="default" w:ascii="Times New Roman" w:hAnsi="Times New Roman" w:eastAsia="仿宋_GB2312" w:cs="Times New Roman"/>
          <w:sz w:val="32"/>
          <w:szCs w:val="32"/>
        </w:rPr>
        <w:t>指行政单位和参照公务员法管理的事业单位使用一般公共预算安排的基本支出中的日常公用经费支出。</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outlineLvl w:val="9"/>
        <w:rPr>
          <w:rFonts w:hint="default" w:ascii="黑体" w:hAnsi="黑体" w:eastAsia="黑体" w:cs="黑体"/>
          <w:kern w:val="2"/>
          <w:sz w:val="32"/>
          <w:szCs w:val="32"/>
          <w:lang w:val="en" w:eastAsia="zh-CN" w:bidi="ar-SA"/>
        </w:rPr>
      </w:pPr>
      <w:r>
        <w:rPr>
          <w:rFonts w:hint="default" w:ascii="黑体" w:hAnsi="黑体" w:eastAsia="黑体" w:cs="黑体"/>
          <w:kern w:val="2"/>
          <w:sz w:val="32"/>
          <w:szCs w:val="32"/>
          <w:lang w:val="en" w:eastAsia="zh-CN" w:bidi="ar-SA"/>
        </w:rPr>
        <w:t>第五部分  附件</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pPr>
      <w:r>
        <w:rPr>
          <w:rFonts w:hint="default" w:ascii="Times New Roman" w:hAnsi="Times New Roman" w:eastAsia="仿宋_GB2312" w:cs="Times New Roman"/>
          <w:sz w:val="32"/>
          <w:szCs w:val="32"/>
        </w:rPr>
        <w:t>各单位需要其他说明的事项可在附件中添加。</w:t>
      </w:r>
    </w:p>
    <w:p>
      <w:pPr>
        <w:rPr>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7413E"/>
    <w:multiLevelType w:val="singleLevel"/>
    <w:tmpl w:val="B947413E"/>
    <w:lvl w:ilvl="0" w:tentative="0">
      <w:start w:val="4"/>
      <w:numFmt w:val="chineseCounting"/>
      <w:suff w:val="nothing"/>
      <w:lvlText w:val="（%1）"/>
      <w:lvlJc w:val="left"/>
      <w:rPr>
        <w:rFonts w:hint="eastAsia"/>
      </w:rPr>
    </w:lvl>
  </w:abstractNum>
  <w:abstractNum w:abstractNumId="1">
    <w:nsid w:val="FE515236"/>
    <w:multiLevelType w:val="singleLevel"/>
    <w:tmpl w:val="FE515236"/>
    <w:lvl w:ilvl="0" w:tentative="0">
      <w:start w:val="3"/>
      <w:numFmt w:val="chineseCounting"/>
      <w:suff w:val="nothing"/>
      <w:lvlText w:val="（%1）"/>
      <w:lvlJc w:val="left"/>
      <w:rPr>
        <w:rFonts w:hint="eastAsia"/>
      </w:rPr>
    </w:lvl>
  </w:abstractNum>
  <w:abstractNum w:abstractNumId="2">
    <w:nsid w:val="6C35F7CC"/>
    <w:multiLevelType w:val="singleLevel"/>
    <w:tmpl w:val="6C35F7CC"/>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5MzQ3ZTM1YWZhZjc4NDZhMTYwZDAwNDZjM2QxNmIifQ=="/>
  </w:docVars>
  <w:rsids>
    <w:rsidRoot w:val="00000000"/>
    <w:rsid w:val="020A0B6A"/>
    <w:rsid w:val="056E6258"/>
    <w:rsid w:val="158E379C"/>
    <w:rsid w:val="1BBC0ECE"/>
    <w:rsid w:val="25C87188"/>
    <w:rsid w:val="2DED125D"/>
    <w:rsid w:val="408C2727"/>
    <w:rsid w:val="409849E4"/>
    <w:rsid w:val="45D21E8D"/>
    <w:rsid w:val="46471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ind w:firstLine="420" w:firstLineChars="200"/>
    </w:pPr>
    <w:rPr>
      <w:rFonts w:ascii="Times New Roman" w:hAnsi="Times New Roman"/>
    </w:rPr>
  </w:style>
  <w:style w:type="paragraph" w:styleId="3">
    <w:name w:val="Body Text"/>
    <w:basedOn w:val="1"/>
    <w:next w:val="4"/>
    <w:qFormat/>
    <w:uiPriority w:val="0"/>
    <w:pPr>
      <w:spacing w:after="120" w:afterAutospacing="0"/>
    </w:pPr>
  </w:style>
  <w:style w:type="paragraph" w:styleId="4">
    <w:name w:val="Body Text 2"/>
    <w:basedOn w:val="1"/>
    <w:qFormat/>
    <w:uiPriority w:val="0"/>
    <w:pPr>
      <w:spacing w:after="120" w:line="480" w:lineRule="auto"/>
    </w:pPr>
    <w:rPr>
      <w:rFonts w:ascii="Times New Roman" w:hAnsi="Times New Roman" w:eastAsia="宋体" w:cs="Times New Roman"/>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3099</Words>
  <Characters>3331</Characters>
  <Lines>0</Lines>
  <Paragraphs>0</Paragraphs>
  <TotalTime>4</TotalTime>
  <ScaleCrop>false</ScaleCrop>
  <LinksUpToDate>false</LinksUpToDate>
  <CharactersWithSpaces>3393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2022-08-02T07:07:00Z</dcterms:created>
  <dc:creator>Administrator</dc:creator>
  <cp:lastModifiedBy>Administrator</cp:lastModifiedBy>
  <dcterms:modified xsi:type="dcterms:W3CDTF">2022-08-05T06:40:17Z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184528D6641142658718056A5FAD0D16</vt:lpwstr>
  </property>
</Properties>
</file>