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黑体" w:hAnsi="黑体" w:eastAsia="黑体" w:cs="黑体"/>
          <w:b w:val="0"/>
          <w:bCs w:val="0"/>
          <w:color w:val="auto"/>
          <w:sz w:val="44"/>
          <w:szCs w:val="44"/>
          <w:highlight w:val="none"/>
          <w:lang w:eastAsia="zh-CN"/>
        </w:rPr>
      </w:pPr>
      <w:r>
        <w:rPr>
          <w:rFonts w:hint="eastAsia" w:ascii="黑体" w:hAnsi="黑体" w:eastAsia="黑体" w:cs="黑体"/>
          <w:b w:val="0"/>
          <w:bCs w:val="0"/>
          <w:color w:val="auto"/>
          <w:sz w:val="44"/>
          <w:szCs w:val="44"/>
          <w:highlight w:val="none"/>
        </w:rPr>
        <w:t>大同市财政局20</w:t>
      </w:r>
      <w:r>
        <w:rPr>
          <w:rFonts w:hint="eastAsia" w:ascii="黑体" w:hAnsi="黑体" w:eastAsia="黑体" w:cs="黑体"/>
          <w:b w:val="0"/>
          <w:bCs w:val="0"/>
          <w:color w:val="auto"/>
          <w:sz w:val="44"/>
          <w:szCs w:val="44"/>
          <w:highlight w:val="none"/>
          <w:lang w:val="en-US" w:eastAsia="zh-CN"/>
        </w:rPr>
        <w:t>22</w:t>
      </w:r>
      <w:r>
        <w:rPr>
          <w:rFonts w:hint="eastAsia" w:ascii="黑体" w:hAnsi="黑体" w:eastAsia="黑体" w:cs="黑体"/>
          <w:b w:val="0"/>
          <w:bCs w:val="0"/>
          <w:color w:val="auto"/>
          <w:sz w:val="44"/>
          <w:szCs w:val="44"/>
          <w:highlight w:val="none"/>
        </w:rPr>
        <w:t>年度预算</w:t>
      </w:r>
      <w:r>
        <w:rPr>
          <w:rFonts w:hint="eastAsia" w:ascii="黑体" w:hAnsi="黑体" w:eastAsia="黑体" w:cs="黑体"/>
          <w:b w:val="0"/>
          <w:bCs w:val="0"/>
          <w:color w:val="auto"/>
          <w:sz w:val="44"/>
          <w:szCs w:val="44"/>
          <w:highlight w:val="none"/>
          <w:lang w:eastAsia="zh-CN"/>
        </w:rPr>
        <w:t>情况说明</w:t>
      </w:r>
    </w:p>
    <w:p>
      <w:pPr>
        <w:spacing w:line="360" w:lineRule="auto"/>
        <w:rPr>
          <w:rFonts w:hint="eastAsia" w:ascii="仿宋" w:hAnsi="仿宋" w:eastAsia="仿宋" w:cs="仿宋"/>
          <w:color w:val="auto"/>
          <w:sz w:val="28"/>
          <w:szCs w:val="28"/>
          <w:highlight w:val="none"/>
        </w:rPr>
      </w:pPr>
    </w:p>
    <w:p>
      <w:pPr>
        <w:spacing w:line="360" w:lineRule="auto"/>
        <w:rPr>
          <w:rFonts w:hint="eastAsia" w:ascii="黑体" w:hAnsi="黑体" w:eastAsia="黑体" w:cs="黑体"/>
          <w:color w:val="auto"/>
          <w:sz w:val="28"/>
          <w:szCs w:val="28"/>
          <w:highlight w:val="none"/>
        </w:rPr>
      </w:pPr>
      <w:r>
        <w:rPr>
          <w:rFonts w:hint="eastAsia" w:ascii="黑体" w:hAnsi="黑体" w:eastAsia="黑体" w:cs="黑体"/>
          <w:color w:val="auto"/>
          <w:sz w:val="28"/>
          <w:szCs w:val="28"/>
          <w:highlight w:val="none"/>
        </w:rPr>
        <w:t>第一部分  概况</w:t>
      </w:r>
    </w:p>
    <w:p>
      <w:pPr>
        <w:spacing w:line="360" w:lineRule="auto"/>
        <w:rPr>
          <w:rFonts w:hint="eastAsia" w:ascii="黑体" w:hAnsi="黑体" w:eastAsia="黑体" w:cs="黑体"/>
          <w:color w:val="auto"/>
          <w:sz w:val="28"/>
          <w:szCs w:val="28"/>
          <w:highlight w:val="none"/>
        </w:rPr>
      </w:pPr>
      <w:r>
        <w:rPr>
          <w:rFonts w:hint="eastAsia" w:ascii="黑体" w:hAnsi="黑体" w:eastAsia="黑体" w:cs="黑体"/>
          <w:color w:val="auto"/>
          <w:sz w:val="28"/>
          <w:szCs w:val="28"/>
          <w:highlight w:val="none"/>
        </w:rPr>
        <w:t>一、本部门职责</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一）贯彻执行国家财政、税收、宏观经济等各项方针政策、参与拟定全市各项宏观经济政策，拟定和执行全市财政、税收的发展战略、方针政策、中长期规划、改革方案及其它有关政策，提出运用财税政策实施宏观调控和综合平衡社会财力的建议，拟定和执行市对县及国家与企业的分配政策。</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（二）贯彻执行国家财政、财务、会计管理及行政事业单位国有资产管理的法律、法规、规章及各项方针政策，拟定全市财政、财务、会计管理及行政事业单位国有资产管理的地方性法规、规章草案和制度。</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（三）编制年度市本级预决算草案并组织执行。</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（四）负责政府非税收入管理，负责政府性基金管理及预算编制，按规定管理行政事业性收费，管理财政票据，负责地方彩票市场的监管工作。</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五）贯彻执行国库管理制度、国库集中收付制度，推行市级财政国库集中收付制度并进行监督管理，指导全市推行财政国库集中收付制度工作。负责审核和编制汇总全市财政总决算和部门决算。负责管理市本级财政银行账户和市级预算单位银行账户。制定地方国库现金管理制度，负责组织实施地方国库现金管理工作。负责制定全市政府采购制度并监督管理，编制市级政府采购预算。</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(六)提出地方税收立法建议，负责组织起草地方税收法规、规章草案及实施办法和税收政策调整方案。研究提出地方税收政策的调整建议。</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七）拟定并组织实施全市行政事业单位国有资产及其收益管理的规章制度，建立行政事业单位国有资产配置、整合、调剂、共享、共用机制，负责管理市级行政事业单位国有资产及其收益，审核批复市级行政事业单位国有资产配置、处置、产权界定等事项。</w:t>
      </w:r>
    </w:p>
    <w:p>
      <w:pPr>
        <w:rPr>
          <w:rFonts w:hint="eastAsia" w:ascii="仿宋" w:hAnsi="仿宋" w:eastAsia="仿宋"/>
          <w:sz w:val="28"/>
          <w:szCs w:val="28"/>
        </w:rPr>
      </w:pPr>
      <w:r>
        <w:rPr>
          <w:rFonts w:hint="eastAsia" w:ascii="仿宋" w:hAnsi="仿宋" w:eastAsia="仿宋"/>
          <w:sz w:val="28"/>
          <w:szCs w:val="28"/>
        </w:rPr>
        <w:t xml:space="preserve">    （八）制定全市国有资本经营预算的制度和办法，负责审核和汇总编制国有资本经营预决算草案，收取市级企业国有资本收益，制定并组织实施企业财务制度，管理市属地方金融类企业国有资产，参与拟定企业国有资产管理相关制度，按规定管理资产评估工作。</w:t>
      </w:r>
    </w:p>
    <w:p>
      <w:pPr>
        <w:rPr>
          <w:rFonts w:hint="eastAsia" w:ascii="仿宋" w:hAnsi="仿宋" w:eastAsia="仿宋"/>
          <w:sz w:val="28"/>
          <w:szCs w:val="28"/>
        </w:rPr>
      </w:pPr>
      <w:r>
        <w:rPr>
          <w:rFonts w:hint="eastAsia" w:ascii="仿宋" w:hAnsi="仿宋" w:eastAsia="仿宋"/>
          <w:sz w:val="28"/>
          <w:szCs w:val="28"/>
        </w:rPr>
        <w:t xml:space="preserve">    （九）负责办理和监督市级财政的经济发展支出、市级政府性投资项目的财政拨款，参与拟定全市建设投资的有关政策，拟定基本建设财务制度，负责有关政策性补贴和专项储备资金财政管理工作。负责拟定农村公益事业筹资筹劳“一事一议”政策、农业公益事业和美丽乡村建设资金的分配、监督工作等。</w:t>
      </w:r>
    </w:p>
    <w:p>
      <w:pPr>
        <w:rPr>
          <w:rFonts w:hint="eastAsia" w:ascii="仿宋" w:hAnsi="仿宋" w:eastAsia="仿宋"/>
          <w:sz w:val="28"/>
          <w:szCs w:val="28"/>
        </w:rPr>
      </w:pPr>
      <w:r>
        <w:rPr>
          <w:rFonts w:hint="eastAsia" w:ascii="仿宋" w:hAnsi="仿宋" w:eastAsia="仿宋"/>
          <w:sz w:val="28"/>
          <w:szCs w:val="28"/>
        </w:rPr>
        <w:t xml:space="preserve">    （十）会同有关部门管理市级财政社会保障和就业及医疗卫生支出，会同有关部门拟定社会保障资金（基金）的财务管理制度，编制市本级社会保障预决算草案。</w:t>
      </w:r>
    </w:p>
    <w:p>
      <w:pPr>
        <w:ind w:firstLine="555"/>
        <w:rPr>
          <w:rFonts w:hint="eastAsia" w:ascii="仿宋" w:hAnsi="仿宋" w:eastAsia="仿宋" w:cs="仿宋"/>
          <w:sz w:val="28"/>
          <w:szCs w:val="28"/>
        </w:rPr>
      </w:pPr>
      <w:r>
        <w:rPr>
          <w:rFonts w:hint="eastAsia" w:ascii="仿宋" w:hAnsi="仿宋" w:eastAsia="仿宋"/>
          <w:sz w:val="28"/>
          <w:szCs w:val="28"/>
        </w:rPr>
        <w:t>（十一）</w:t>
      </w:r>
      <w:r>
        <w:rPr>
          <w:rFonts w:hint="eastAsia" w:ascii="仿宋" w:hAnsi="仿宋" w:eastAsia="仿宋" w:cs="仿宋"/>
          <w:sz w:val="28"/>
          <w:szCs w:val="28"/>
        </w:rPr>
        <w:t>贯彻执行国家关于国内债务和政府外债管理的各项方针政策、规章制度和管理办法，负责地方政府内债会计核算工作。负责管理外国政府贷（赠）款和全市利用国际金融组织贷（赠）款工作，参与相关对外谈判工作。</w:t>
      </w:r>
    </w:p>
    <w:p>
      <w:pPr>
        <w:ind w:firstLine="420" w:firstLineChars="150"/>
        <w:rPr>
          <w:rFonts w:hint="eastAsia" w:ascii="仿宋" w:hAnsi="仿宋" w:eastAsia="仿宋"/>
          <w:sz w:val="28"/>
          <w:szCs w:val="28"/>
        </w:rPr>
      </w:pPr>
      <w:r>
        <w:rPr>
          <w:rFonts w:hint="eastAsia" w:ascii="仿宋" w:hAnsi="仿宋" w:eastAsia="仿宋"/>
          <w:sz w:val="28"/>
          <w:szCs w:val="28"/>
        </w:rPr>
        <w:t xml:space="preserve"> （十二）负责管理全市的会计工作，监督和规范会计行为，拟定全市会计管理工作的地方性法规、规章草案、制度及补充规定，负责全市会计职称考试和会计专业技术资格管理等工作。</w:t>
      </w:r>
    </w:p>
    <w:p>
      <w:pPr>
        <w:ind w:firstLine="560" w:firstLineChars="200"/>
        <w:rPr>
          <w:rFonts w:hint="eastAsia" w:ascii="仿宋" w:hAnsi="仿宋" w:eastAsia="仿宋"/>
          <w:sz w:val="28"/>
          <w:szCs w:val="28"/>
        </w:rPr>
      </w:pPr>
      <w:r>
        <w:rPr>
          <w:rFonts w:hint="eastAsia" w:ascii="仿宋" w:hAnsi="仿宋" w:eastAsia="仿宋"/>
          <w:sz w:val="28"/>
          <w:szCs w:val="28"/>
        </w:rPr>
        <w:t>（十三）监督检查财税法规、政策的执行情况，反映财政收支管理中的重大问题，提出加强财政管理的政策建议。</w:t>
      </w:r>
    </w:p>
    <w:p>
      <w:pPr>
        <w:ind w:firstLine="560" w:firstLineChars="200"/>
        <w:rPr>
          <w:rFonts w:hint="eastAsia" w:ascii="仿宋" w:hAnsi="仿宋" w:eastAsia="仿宋"/>
          <w:sz w:val="28"/>
          <w:szCs w:val="28"/>
        </w:rPr>
      </w:pPr>
      <w:r>
        <w:rPr>
          <w:rFonts w:hint="eastAsia" w:ascii="仿宋" w:hAnsi="仿宋" w:eastAsia="仿宋"/>
          <w:sz w:val="28"/>
          <w:szCs w:val="28"/>
        </w:rPr>
        <w:t>（十四）制定全市财政科学研究和财政教育规划，组织全市财政人员培训，负责财政信息和财政宣传工作。</w:t>
      </w:r>
    </w:p>
    <w:p>
      <w:pPr>
        <w:ind w:firstLine="560" w:firstLineChars="200"/>
        <w:rPr>
          <w:rFonts w:hint="eastAsia" w:ascii="仿宋" w:hAnsi="仿宋" w:eastAsia="仿宋"/>
          <w:sz w:val="28"/>
          <w:szCs w:val="28"/>
        </w:rPr>
      </w:pPr>
      <w:r>
        <w:rPr>
          <w:rFonts w:hint="eastAsia" w:ascii="仿宋" w:hAnsi="仿宋" w:eastAsia="仿宋"/>
          <w:sz w:val="28"/>
          <w:szCs w:val="28"/>
        </w:rPr>
        <w:t>（十五）完成市委、市政府交办的其他任务。</w:t>
      </w:r>
    </w:p>
    <w:p>
      <w:pPr>
        <w:spacing w:line="360" w:lineRule="auto"/>
        <w:rPr>
          <w:rFonts w:hint="eastAsia" w:ascii="黑体" w:hAnsi="黑体" w:eastAsia="黑体" w:cs="黑体"/>
          <w:color w:val="auto"/>
          <w:sz w:val="28"/>
          <w:szCs w:val="28"/>
          <w:highlight w:val="none"/>
        </w:rPr>
      </w:pPr>
      <w:r>
        <w:rPr>
          <w:rFonts w:hint="eastAsia" w:ascii="黑体" w:hAnsi="黑体" w:eastAsia="黑体" w:cs="黑体"/>
          <w:color w:val="auto"/>
          <w:sz w:val="28"/>
          <w:szCs w:val="28"/>
          <w:highlight w:val="none"/>
        </w:rPr>
        <w:t>二、机构设置情况</w:t>
      </w:r>
    </w:p>
    <w:p>
      <w:pPr>
        <w:spacing w:line="360" w:lineRule="auto"/>
        <w:ind w:firstLine="560" w:firstLineChars="200"/>
        <w:rPr>
          <w:rFonts w:hint="eastAsia" w:ascii="仿宋" w:hAnsi="仿宋" w:eastAsia="仿宋" w:cs="仿宋"/>
          <w:sz w:val="28"/>
          <w:szCs w:val="28"/>
        </w:rPr>
      </w:pPr>
      <w:r>
        <w:rPr>
          <w:rFonts w:hint="eastAsia" w:ascii="仿宋" w:hAnsi="仿宋" w:eastAsia="仿宋" w:cs="仿宋"/>
          <w:color w:val="auto"/>
          <w:sz w:val="28"/>
          <w:szCs w:val="28"/>
          <w:highlight w:val="none"/>
          <w:lang w:eastAsia="zh-CN"/>
        </w:rPr>
        <w:t>大同市财政局共设置</w:t>
      </w:r>
      <w:r>
        <w:rPr>
          <w:rFonts w:hint="eastAsia" w:ascii="仿宋" w:hAnsi="仿宋" w:eastAsia="仿宋" w:cs="仿宋"/>
          <w:color w:val="auto"/>
          <w:sz w:val="28"/>
          <w:szCs w:val="28"/>
          <w:highlight w:val="none"/>
          <w:lang w:val="en-US" w:eastAsia="zh-CN"/>
        </w:rPr>
        <w:t>27个内设科室，分别为：</w:t>
      </w:r>
      <w:r>
        <w:rPr>
          <w:rFonts w:hint="eastAsia" w:ascii="仿宋" w:hAnsi="仿宋" w:eastAsia="仿宋" w:cs="仿宋"/>
          <w:sz w:val="28"/>
          <w:szCs w:val="28"/>
        </w:rPr>
        <w:t>办公室、编制人事教育科、综合科、法规税政科、预算科、国库科、行政科、政法科、教科文科、经济建设科、农业科、社会保障科、地方金融科、国际科、会计科、政府采购管理办公室、城市建设财务科、监督检查科、农业综合开发科、煤炭基金管理、车辆管理科、资产管理科科、债务科、绩效管理科、御东新区分局、机关党委办公室、离退休人员工作科。</w:t>
      </w:r>
    </w:p>
    <w:p>
      <w:pPr>
        <w:pStyle w:val="2"/>
        <w:rPr>
          <w:rFonts w:hint="eastAsia"/>
          <w:lang w:val="en-US" w:eastAsia="zh-CN"/>
        </w:rPr>
      </w:pPr>
    </w:p>
    <w:p>
      <w:pPr>
        <w:spacing w:line="360" w:lineRule="auto"/>
        <w:rPr>
          <w:rFonts w:hint="eastAsia" w:ascii="黑体" w:hAnsi="黑体" w:eastAsia="黑体" w:cs="黑体"/>
          <w:color w:val="auto"/>
          <w:sz w:val="28"/>
          <w:szCs w:val="28"/>
          <w:highlight w:val="none"/>
        </w:rPr>
      </w:pPr>
      <w:r>
        <w:rPr>
          <w:rFonts w:hint="eastAsia" w:ascii="黑体" w:hAnsi="黑体" w:eastAsia="黑体" w:cs="黑体"/>
          <w:color w:val="auto"/>
          <w:sz w:val="28"/>
          <w:szCs w:val="28"/>
          <w:highlight w:val="none"/>
        </w:rPr>
        <w:t>第二部分 20</w:t>
      </w:r>
      <w:r>
        <w:rPr>
          <w:rFonts w:hint="eastAsia" w:ascii="黑体" w:hAnsi="黑体" w:eastAsia="黑体" w:cs="黑体"/>
          <w:color w:val="auto"/>
          <w:sz w:val="28"/>
          <w:szCs w:val="28"/>
          <w:highlight w:val="none"/>
          <w:lang w:val="en-US" w:eastAsia="zh-CN"/>
        </w:rPr>
        <w:t>22</w:t>
      </w:r>
      <w:r>
        <w:rPr>
          <w:rFonts w:hint="eastAsia" w:ascii="黑体" w:hAnsi="黑体" w:eastAsia="黑体" w:cs="黑体"/>
          <w:color w:val="auto"/>
          <w:sz w:val="28"/>
          <w:szCs w:val="28"/>
          <w:highlight w:val="none"/>
        </w:rPr>
        <w:t>年部门预算报表</w:t>
      </w:r>
    </w:p>
    <w:p>
      <w:pPr>
        <w:spacing w:line="360" w:lineRule="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大同市财政局</w:t>
      </w:r>
      <w:r>
        <w:rPr>
          <w:rFonts w:hint="eastAsia" w:ascii="仿宋" w:hAnsi="仿宋" w:eastAsia="仿宋" w:cs="仿宋"/>
          <w:color w:val="auto"/>
          <w:sz w:val="28"/>
          <w:szCs w:val="28"/>
          <w:highlight w:val="none"/>
          <w:lang w:eastAsia="zh-CN"/>
        </w:rPr>
        <w:t>（本级）</w:t>
      </w:r>
      <w:r>
        <w:rPr>
          <w:rFonts w:hint="eastAsia" w:ascii="仿宋" w:hAnsi="仿宋" w:eastAsia="仿宋" w:cs="仿宋"/>
          <w:color w:val="auto"/>
          <w:sz w:val="28"/>
          <w:szCs w:val="28"/>
          <w:highlight w:val="none"/>
        </w:rPr>
        <w:t>20</w:t>
      </w:r>
      <w:r>
        <w:rPr>
          <w:rFonts w:hint="eastAsia" w:ascii="仿宋" w:hAnsi="仿宋" w:eastAsia="仿宋" w:cs="仿宋"/>
          <w:color w:val="auto"/>
          <w:sz w:val="28"/>
          <w:szCs w:val="28"/>
          <w:highlight w:val="none"/>
          <w:lang w:val="en-US" w:eastAsia="zh-CN"/>
        </w:rPr>
        <w:t>22</w:t>
      </w:r>
      <w:r>
        <w:rPr>
          <w:rFonts w:hint="eastAsia" w:ascii="仿宋" w:hAnsi="仿宋" w:eastAsia="仿宋" w:cs="仿宋"/>
          <w:color w:val="auto"/>
          <w:sz w:val="28"/>
          <w:szCs w:val="28"/>
          <w:highlight w:val="none"/>
        </w:rPr>
        <w:t>年部门预算公开表</w:t>
      </w:r>
      <w:r>
        <w:rPr>
          <w:rFonts w:hint="eastAsia" w:ascii="仿宋" w:hAnsi="仿宋" w:eastAsia="仿宋" w:cs="仿宋"/>
          <w:color w:val="auto"/>
          <w:sz w:val="28"/>
          <w:szCs w:val="28"/>
          <w:highlight w:val="none"/>
          <w:lang w:val="en-US" w:eastAsia="zh-CN"/>
        </w:rPr>
        <w:t>1-11</w:t>
      </w:r>
    </w:p>
    <w:p>
      <w:pPr>
        <w:spacing w:line="360" w:lineRule="auto"/>
        <w:rPr>
          <w:rFonts w:hint="eastAsia" w:ascii="黑体" w:hAnsi="黑体" w:eastAsia="黑体" w:cs="黑体"/>
          <w:color w:val="auto"/>
          <w:sz w:val="28"/>
          <w:szCs w:val="28"/>
          <w:highlight w:val="none"/>
        </w:rPr>
      </w:pPr>
      <w:r>
        <w:rPr>
          <w:rFonts w:hint="eastAsia" w:ascii="黑体" w:hAnsi="黑体" w:eastAsia="黑体" w:cs="黑体"/>
          <w:color w:val="auto"/>
          <w:sz w:val="28"/>
          <w:szCs w:val="28"/>
          <w:highlight w:val="none"/>
        </w:rPr>
        <w:t>第三部分 20</w:t>
      </w:r>
      <w:r>
        <w:rPr>
          <w:rFonts w:hint="eastAsia" w:ascii="黑体" w:hAnsi="黑体" w:eastAsia="黑体" w:cs="黑体"/>
          <w:color w:val="auto"/>
          <w:sz w:val="28"/>
          <w:szCs w:val="28"/>
          <w:highlight w:val="none"/>
          <w:lang w:val="en-US" w:eastAsia="zh-CN"/>
        </w:rPr>
        <w:t>22</w:t>
      </w:r>
      <w:r>
        <w:rPr>
          <w:rFonts w:hint="eastAsia" w:ascii="黑体" w:hAnsi="黑体" w:eastAsia="黑体" w:cs="黑体"/>
          <w:color w:val="auto"/>
          <w:sz w:val="28"/>
          <w:szCs w:val="28"/>
          <w:highlight w:val="none"/>
        </w:rPr>
        <w:t>年度部门预算情况说明</w:t>
      </w:r>
    </w:p>
    <w:p>
      <w:pPr>
        <w:spacing w:line="360" w:lineRule="auto"/>
        <w:rPr>
          <w:rFonts w:hint="eastAsia" w:ascii="黑体" w:hAnsi="黑体" w:eastAsia="黑体" w:cs="黑体"/>
          <w:color w:val="auto"/>
          <w:sz w:val="28"/>
          <w:szCs w:val="28"/>
          <w:highlight w:val="none"/>
        </w:rPr>
      </w:pPr>
      <w:r>
        <w:rPr>
          <w:rFonts w:hint="eastAsia" w:ascii="黑体" w:hAnsi="黑体" w:eastAsia="黑体" w:cs="黑体"/>
          <w:color w:val="auto"/>
          <w:sz w:val="28"/>
          <w:szCs w:val="28"/>
          <w:highlight w:val="none"/>
        </w:rPr>
        <w:t>一、20</w:t>
      </w:r>
      <w:r>
        <w:rPr>
          <w:rFonts w:hint="eastAsia" w:ascii="黑体" w:hAnsi="黑体" w:eastAsia="黑体" w:cs="黑体"/>
          <w:color w:val="auto"/>
          <w:sz w:val="28"/>
          <w:szCs w:val="28"/>
          <w:highlight w:val="none"/>
          <w:lang w:val="en-US" w:eastAsia="zh-CN"/>
        </w:rPr>
        <w:t>21</w:t>
      </w:r>
      <w:r>
        <w:rPr>
          <w:rFonts w:hint="eastAsia" w:ascii="黑体" w:hAnsi="黑体" w:eastAsia="黑体" w:cs="黑体"/>
          <w:color w:val="auto"/>
          <w:sz w:val="28"/>
          <w:szCs w:val="28"/>
          <w:highlight w:val="none"/>
        </w:rPr>
        <w:t>年度部门预算收支情况</w:t>
      </w:r>
    </w:p>
    <w:p>
      <w:pP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（一）预算收支情况</w:t>
      </w:r>
    </w:p>
    <w:p>
      <w:pPr>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大同市财政局</w:t>
      </w:r>
      <w:r>
        <w:rPr>
          <w:rFonts w:hint="eastAsia" w:ascii="仿宋" w:hAnsi="仿宋" w:eastAsia="仿宋" w:cs="仿宋"/>
          <w:color w:val="auto"/>
          <w:sz w:val="28"/>
          <w:szCs w:val="28"/>
          <w:highlight w:val="none"/>
          <w:lang w:eastAsia="zh-CN"/>
        </w:rPr>
        <w:t>（本级）</w:t>
      </w:r>
      <w:r>
        <w:rPr>
          <w:rFonts w:hint="eastAsia" w:ascii="仿宋" w:hAnsi="仿宋" w:eastAsia="仿宋" w:cs="仿宋"/>
          <w:color w:val="auto"/>
          <w:sz w:val="28"/>
          <w:szCs w:val="28"/>
          <w:highlight w:val="none"/>
          <w:lang w:val="en-US" w:eastAsia="zh-CN"/>
        </w:rPr>
        <w:t>2022</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lang w:eastAsia="zh-CN"/>
        </w:rPr>
        <w:t>部门总体</w:t>
      </w:r>
      <w:r>
        <w:rPr>
          <w:rFonts w:hint="eastAsia" w:ascii="仿宋" w:hAnsi="仿宋" w:eastAsia="仿宋" w:cs="仿宋"/>
          <w:color w:val="auto"/>
          <w:sz w:val="28"/>
          <w:szCs w:val="28"/>
          <w:highlight w:val="none"/>
        </w:rPr>
        <w:t>预算收</w:t>
      </w:r>
      <w:r>
        <w:rPr>
          <w:rFonts w:hint="eastAsia" w:ascii="仿宋" w:hAnsi="仿宋" w:eastAsia="仿宋" w:cs="仿宋"/>
          <w:color w:val="auto"/>
          <w:sz w:val="28"/>
          <w:szCs w:val="28"/>
          <w:highlight w:val="none"/>
          <w:lang w:eastAsia="zh-CN"/>
        </w:rPr>
        <w:t>支为</w:t>
      </w:r>
      <w:r>
        <w:rPr>
          <w:rFonts w:hint="eastAsia" w:ascii="仿宋" w:hAnsi="仿宋" w:eastAsia="仿宋" w:cs="仿宋"/>
          <w:color w:val="auto"/>
          <w:sz w:val="28"/>
          <w:szCs w:val="28"/>
          <w:highlight w:val="none"/>
          <w:lang w:val="en-US" w:eastAsia="zh-CN"/>
        </w:rPr>
        <w:t>2763.19</w:t>
      </w:r>
      <w:r>
        <w:rPr>
          <w:rFonts w:hint="eastAsia" w:ascii="仿宋" w:hAnsi="仿宋" w:eastAsia="仿宋" w:cs="仿宋"/>
          <w:color w:val="auto"/>
          <w:sz w:val="28"/>
          <w:szCs w:val="28"/>
          <w:highlight w:val="none"/>
        </w:rPr>
        <w:t>，比20</w:t>
      </w:r>
      <w:r>
        <w:rPr>
          <w:rFonts w:hint="eastAsia" w:ascii="仿宋" w:hAnsi="仿宋" w:eastAsia="仿宋" w:cs="仿宋"/>
          <w:color w:val="auto"/>
          <w:sz w:val="28"/>
          <w:szCs w:val="28"/>
          <w:highlight w:val="none"/>
          <w:lang w:val="en-US" w:eastAsia="zh-CN"/>
        </w:rPr>
        <w:t>21年3089.02</w:t>
      </w:r>
      <w:r>
        <w:rPr>
          <w:rFonts w:hint="eastAsia" w:ascii="仿宋" w:hAnsi="仿宋" w:eastAsia="仿宋" w:cs="仿宋"/>
          <w:color w:val="auto"/>
          <w:sz w:val="28"/>
          <w:szCs w:val="28"/>
          <w:highlight w:val="none"/>
        </w:rPr>
        <w:t>万元</w:t>
      </w:r>
      <w:r>
        <w:rPr>
          <w:rFonts w:hint="eastAsia" w:ascii="仿宋" w:hAnsi="仿宋" w:eastAsia="仿宋" w:cs="仿宋"/>
          <w:color w:val="auto"/>
          <w:sz w:val="28"/>
          <w:szCs w:val="28"/>
          <w:highlight w:val="none"/>
          <w:lang w:eastAsia="zh-CN"/>
        </w:rPr>
        <w:t>减少</w:t>
      </w:r>
      <w:r>
        <w:rPr>
          <w:rFonts w:hint="eastAsia" w:ascii="仿宋" w:hAnsi="仿宋" w:eastAsia="仿宋" w:cs="仿宋"/>
          <w:color w:val="auto"/>
          <w:sz w:val="28"/>
          <w:szCs w:val="28"/>
          <w:highlight w:val="none"/>
          <w:lang w:val="en-US" w:eastAsia="zh-CN"/>
        </w:rPr>
        <w:t>325.83</w:t>
      </w:r>
      <w:r>
        <w:rPr>
          <w:rFonts w:hint="eastAsia" w:ascii="仿宋" w:hAnsi="仿宋" w:eastAsia="仿宋" w:cs="仿宋"/>
          <w:color w:val="auto"/>
          <w:sz w:val="28"/>
          <w:szCs w:val="28"/>
          <w:highlight w:val="none"/>
        </w:rPr>
        <w:t>万元，同口径</w:t>
      </w:r>
      <w:r>
        <w:rPr>
          <w:rFonts w:hint="eastAsia" w:ascii="仿宋" w:hAnsi="仿宋" w:eastAsia="仿宋" w:cs="仿宋"/>
          <w:color w:val="auto"/>
          <w:sz w:val="28"/>
          <w:szCs w:val="28"/>
          <w:highlight w:val="none"/>
          <w:lang w:eastAsia="zh-CN"/>
        </w:rPr>
        <w:t>减少</w:t>
      </w:r>
      <w:r>
        <w:rPr>
          <w:rFonts w:hint="eastAsia" w:ascii="仿宋" w:hAnsi="仿宋" w:eastAsia="仿宋" w:cs="仿宋"/>
          <w:color w:val="auto"/>
          <w:sz w:val="28"/>
          <w:szCs w:val="28"/>
          <w:highlight w:val="none"/>
          <w:lang w:val="en-US" w:eastAsia="zh-CN"/>
        </w:rPr>
        <w:t>10.5</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其中一般公共预算收入为</w:t>
      </w:r>
      <w:r>
        <w:rPr>
          <w:rFonts w:hint="eastAsia" w:ascii="仿宋" w:hAnsi="仿宋" w:eastAsia="仿宋" w:cs="仿宋"/>
          <w:color w:val="auto"/>
          <w:sz w:val="28"/>
          <w:szCs w:val="28"/>
          <w:highlight w:val="none"/>
          <w:lang w:val="en-US" w:eastAsia="zh-CN"/>
        </w:rPr>
        <w:t>2763.19万元；</w:t>
      </w:r>
      <w:r>
        <w:rPr>
          <w:rFonts w:hint="eastAsia" w:ascii="仿宋" w:hAnsi="仿宋" w:eastAsia="仿宋" w:cs="仿宋"/>
          <w:color w:val="auto"/>
          <w:sz w:val="28"/>
          <w:szCs w:val="28"/>
          <w:highlight w:val="none"/>
          <w:lang w:eastAsia="zh-CN"/>
        </w:rPr>
        <w:t>支出</w:t>
      </w:r>
      <w:r>
        <w:rPr>
          <w:rFonts w:hint="eastAsia" w:ascii="仿宋" w:hAnsi="仿宋" w:eastAsia="仿宋" w:cs="仿宋"/>
          <w:color w:val="auto"/>
          <w:sz w:val="28"/>
          <w:szCs w:val="28"/>
          <w:highlight w:val="none"/>
        </w:rPr>
        <w:t>预算</w:t>
      </w:r>
      <w:r>
        <w:rPr>
          <w:rFonts w:hint="eastAsia" w:ascii="仿宋" w:hAnsi="仿宋" w:eastAsia="仿宋" w:cs="仿宋"/>
          <w:color w:val="auto"/>
          <w:sz w:val="28"/>
          <w:szCs w:val="28"/>
          <w:highlight w:val="none"/>
          <w:lang w:eastAsia="zh-CN"/>
        </w:rPr>
        <w:t>为</w:t>
      </w:r>
      <w:r>
        <w:rPr>
          <w:rFonts w:hint="eastAsia" w:ascii="仿宋" w:hAnsi="仿宋" w:eastAsia="仿宋" w:cs="仿宋"/>
          <w:color w:val="auto"/>
          <w:sz w:val="28"/>
          <w:szCs w:val="28"/>
          <w:highlight w:val="none"/>
          <w:lang w:val="en-US" w:eastAsia="zh-CN"/>
        </w:rPr>
        <w:t>2763.19万元，其中，一般公共服务支出2705.94万元；社会保障和就业支出239.92万元；卫生健康支出47.95万元；住房保障支出95.21万元。</w:t>
      </w:r>
    </w:p>
    <w:p>
      <w:pP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（二）一般公共预算支出情况</w:t>
      </w:r>
    </w:p>
    <w:p>
      <w:pPr>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大同市财政局</w:t>
      </w:r>
      <w:r>
        <w:rPr>
          <w:rFonts w:hint="eastAsia" w:ascii="仿宋" w:hAnsi="仿宋" w:eastAsia="仿宋" w:cs="仿宋"/>
          <w:color w:val="auto"/>
          <w:sz w:val="28"/>
          <w:szCs w:val="28"/>
          <w:highlight w:val="none"/>
          <w:lang w:val="en-US" w:eastAsia="zh-CN"/>
        </w:rPr>
        <w:t>2022</w:t>
      </w:r>
      <w:r>
        <w:rPr>
          <w:rFonts w:hint="eastAsia" w:ascii="仿宋" w:hAnsi="仿宋" w:eastAsia="仿宋" w:cs="仿宋"/>
          <w:color w:val="auto"/>
          <w:sz w:val="28"/>
          <w:szCs w:val="28"/>
          <w:highlight w:val="none"/>
        </w:rPr>
        <w:t>年一般公共预算支出预算</w:t>
      </w:r>
      <w:r>
        <w:rPr>
          <w:rFonts w:hint="eastAsia" w:ascii="仿宋" w:hAnsi="仿宋" w:eastAsia="仿宋" w:cs="仿宋"/>
          <w:color w:val="auto"/>
          <w:sz w:val="28"/>
          <w:szCs w:val="28"/>
          <w:highlight w:val="none"/>
          <w:lang w:val="en-US" w:eastAsia="zh-CN"/>
        </w:rPr>
        <w:t>2763.19</w:t>
      </w:r>
      <w:r>
        <w:rPr>
          <w:rFonts w:hint="eastAsia" w:ascii="仿宋" w:hAnsi="仿宋" w:eastAsia="仿宋" w:cs="仿宋"/>
          <w:color w:val="auto"/>
          <w:sz w:val="28"/>
          <w:szCs w:val="28"/>
          <w:highlight w:val="none"/>
        </w:rPr>
        <w:t>，比20</w:t>
      </w:r>
      <w:r>
        <w:rPr>
          <w:rFonts w:hint="eastAsia" w:ascii="仿宋" w:hAnsi="仿宋" w:eastAsia="仿宋" w:cs="仿宋"/>
          <w:color w:val="auto"/>
          <w:sz w:val="28"/>
          <w:szCs w:val="28"/>
          <w:highlight w:val="none"/>
          <w:lang w:val="en-US" w:eastAsia="zh-CN"/>
        </w:rPr>
        <w:t>21年3089.02</w:t>
      </w:r>
      <w:r>
        <w:rPr>
          <w:rFonts w:hint="eastAsia" w:ascii="仿宋" w:hAnsi="仿宋" w:eastAsia="仿宋" w:cs="仿宋"/>
          <w:color w:val="auto"/>
          <w:sz w:val="28"/>
          <w:szCs w:val="28"/>
          <w:highlight w:val="none"/>
        </w:rPr>
        <w:t>万元</w:t>
      </w:r>
      <w:r>
        <w:rPr>
          <w:rFonts w:hint="eastAsia" w:ascii="仿宋" w:hAnsi="仿宋" w:eastAsia="仿宋" w:cs="仿宋"/>
          <w:color w:val="auto"/>
          <w:sz w:val="28"/>
          <w:szCs w:val="28"/>
          <w:highlight w:val="none"/>
          <w:lang w:eastAsia="zh-CN"/>
        </w:rPr>
        <w:t>减少</w:t>
      </w:r>
      <w:r>
        <w:rPr>
          <w:rFonts w:hint="eastAsia" w:ascii="仿宋" w:hAnsi="仿宋" w:eastAsia="仿宋" w:cs="仿宋"/>
          <w:color w:val="auto"/>
          <w:sz w:val="28"/>
          <w:szCs w:val="28"/>
          <w:highlight w:val="none"/>
          <w:lang w:val="en-US" w:eastAsia="zh-CN"/>
        </w:rPr>
        <w:t>325.83</w:t>
      </w:r>
      <w:r>
        <w:rPr>
          <w:rFonts w:hint="eastAsia" w:ascii="仿宋" w:hAnsi="仿宋" w:eastAsia="仿宋" w:cs="仿宋"/>
          <w:color w:val="auto"/>
          <w:sz w:val="28"/>
          <w:szCs w:val="28"/>
          <w:highlight w:val="none"/>
        </w:rPr>
        <w:t>万元，同口径</w:t>
      </w:r>
      <w:r>
        <w:rPr>
          <w:rFonts w:hint="eastAsia" w:ascii="仿宋" w:hAnsi="仿宋" w:eastAsia="仿宋" w:cs="仿宋"/>
          <w:color w:val="auto"/>
          <w:sz w:val="28"/>
          <w:szCs w:val="28"/>
          <w:highlight w:val="none"/>
          <w:lang w:eastAsia="zh-CN"/>
        </w:rPr>
        <w:t>减少</w:t>
      </w:r>
      <w:r>
        <w:rPr>
          <w:rFonts w:hint="eastAsia" w:ascii="仿宋" w:hAnsi="仿宋" w:eastAsia="仿宋" w:cs="仿宋"/>
          <w:color w:val="auto"/>
          <w:sz w:val="28"/>
          <w:szCs w:val="28"/>
          <w:highlight w:val="none"/>
          <w:lang w:val="en-US" w:eastAsia="zh-CN"/>
        </w:rPr>
        <w:t>10.5</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w:t>
      </w:r>
    </w:p>
    <w:p>
      <w:pPr>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w:t>
      </w:r>
      <w:r>
        <w:rPr>
          <w:rFonts w:hint="eastAsia" w:ascii="仿宋" w:hAnsi="仿宋" w:eastAsia="仿宋" w:cs="仿宋"/>
          <w:color w:val="auto"/>
          <w:sz w:val="28"/>
          <w:szCs w:val="28"/>
          <w:highlight w:val="none"/>
          <w:lang w:val="en-US" w:eastAsia="zh-CN"/>
        </w:rPr>
        <w:t>022</w:t>
      </w:r>
      <w:r>
        <w:rPr>
          <w:rFonts w:hint="eastAsia" w:ascii="仿宋" w:hAnsi="仿宋" w:eastAsia="仿宋" w:cs="仿宋"/>
          <w:color w:val="auto"/>
          <w:sz w:val="28"/>
          <w:szCs w:val="28"/>
          <w:highlight w:val="none"/>
        </w:rPr>
        <w:t>年基本支出</w:t>
      </w:r>
      <w:r>
        <w:rPr>
          <w:rFonts w:hint="eastAsia" w:ascii="仿宋" w:hAnsi="仿宋" w:eastAsia="仿宋" w:cs="仿宋"/>
          <w:color w:val="auto"/>
          <w:sz w:val="28"/>
          <w:szCs w:val="28"/>
          <w:highlight w:val="none"/>
          <w:lang w:val="en-US" w:eastAsia="zh-CN"/>
        </w:rPr>
        <w:t>1373.69</w:t>
      </w:r>
      <w:r>
        <w:rPr>
          <w:rFonts w:hint="eastAsia" w:ascii="仿宋" w:hAnsi="仿宋" w:eastAsia="仿宋" w:cs="仿宋"/>
          <w:color w:val="auto"/>
          <w:sz w:val="28"/>
          <w:szCs w:val="28"/>
          <w:highlight w:val="none"/>
          <w:lang w:eastAsia="zh-CN"/>
        </w:rPr>
        <w:t>万元</w:t>
      </w:r>
      <w:r>
        <w:rPr>
          <w:rFonts w:hint="eastAsia" w:ascii="仿宋" w:hAnsi="仿宋" w:eastAsia="仿宋" w:cs="仿宋"/>
          <w:color w:val="auto"/>
          <w:sz w:val="28"/>
          <w:szCs w:val="28"/>
          <w:highlight w:val="none"/>
        </w:rPr>
        <w:t>，比20</w:t>
      </w:r>
      <w:r>
        <w:rPr>
          <w:rFonts w:hint="eastAsia" w:ascii="仿宋" w:hAnsi="仿宋" w:eastAsia="仿宋" w:cs="仿宋"/>
          <w:color w:val="auto"/>
          <w:sz w:val="28"/>
          <w:szCs w:val="28"/>
          <w:highlight w:val="none"/>
          <w:lang w:val="en-US" w:eastAsia="zh-CN"/>
        </w:rPr>
        <w:t>21</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lang w:eastAsia="zh-CN"/>
        </w:rPr>
        <w:t>增加</w:t>
      </w:r>
      <w:r>
        <w:rPr>
          <w:rFonts w:hint="eastAsia" w:ascii="仿宋" w:hAnsi="仿宋" w:eastAsia="仿宋" w:cs="仿宋"/>
          <w:color w:val="auto"/>
          <w:sz w:val="28"/>
          <w:szCs w:val="28"/>
          <w:highlight w:val="none"/>
          <w:lang w:val="en-US" w:eastAsia="zh-CN"/>
        </w:rPr>
        <w:t>114.01</w:t>
      </w:r>
      <w:r>
        <w:rPr>
          <w:rFonts w:hint="eastAsia" w:ascii="仿宋" w:hAnsi="仿宋" w:eastAsia="仿宋" w:cs="仿宋"/>
          <w:color w:val="auto"/>
          <w:sz w:val="28"/>
          <w:szCs w:val="28"/>
          <w:highlight w:val="none"/>
        </w:rPr>
        <w:t>万元。</w:t>
      </w:r>
      <w:r>
        <w:rPr>
          <w:rFonts w:hint="eastAsia" w:ascii="仿宋" w:hAnsi="仿宋" w:eastAsia="仿宋" w:cs="仿宋"/>
          <w:color w:val="auto"/>
          <w:sz w:val="28"/>
          <w:szCs w:val="28"/>
          <w:highlight w:val="none"/>
          <w:lang w:eastAsia="zh-CN"/>
        </w:rPr>
        <w:t>增加</w:t>
      </w:r>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rPr>
        <w:t>%。基本支出系按现有人员工资标准和公用经费定额标准核定。</w:t>
      </w:r>
    </w:p>
    <w:p>
      <w:pPr>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其中：人员经费支出</w:t>
      </w:r>
      <w:r>
        <w:rPr>
          <w:rFonts w:hint="eastAsia" w:ascii="仿宋" w:hAnsi="仿宋" w:eastAsia="仿宋" w:cs="仿宋"/>
          <w:color w:val="auto"/>
          <w:sz w:val="28"/>
          <w:szCs w:val="28"/>
          <w:highlight w:val="none"/>
          <w:lang w:val="en-US" w:eastAsia="zh-CN"/>
        </w:rPr>
        <w:t>1211.3万元</w:t>
      </w:r>
      <w:r>
        <w:rPr>
          <w:rFonts w:hint="eastAsia" w:ascii="仿宋" w:hAnsi="仿宋" w:eastAsia="仿宋" w:cs="仿宋"/>
          <w:color w:val="auto"/>
          <w:sz w:val="28"/>
          <w:szCs w:val="28"/>
          <w:highlight w:val="none"/>
        </w:rPr>
        <w:t>，主要包括基本工资、津贴补贴、奖金、绩效工资、机关事业单位基本养老保险缴费、职工基本医疗保险缴费、其他社会保障缴费、住房公积金、其他工资福利支出、离休费、退休费、生活补助、奖励金、助学金；公用经费</w:t>
      </w:r>
      <w:r>
        <w:rPr>
          <w:rFonts w:hint="eastAsia" w:ascii="仿宋" w:hAnsi="仿宋" w:eastAsia="仿宋" w:cs="仿宋"/>
          <w:color w:val="auto"/>
          <w:sz w:val="28"/>
          <w:szCs w:val="28"/>
          <w:highlight w:val="none"/>
          <w:lang w:val="en-US" w:eastAsia="zh-CN"/>
        </w:rPr>
        <w:t>162.38</w:t>
      </w:r>
      <w:r>
        <w:rPr>
          <w:rFonts w:hint="eastAsia" w:ascii="仿宋" w:hAnsi="仿宋" w:eastAsia="仿宋" w:cs="仿宋"/>
          <w:color w:val="auto"/>
          <w:sz w:val="28"/>
          <w:szCs w:val="28"/>
          <w:highlight w:val="none"/>
        </w:rPr>
        <w:t>万元，主要包括办公费、印刷费、邮电费、水费、电费、物业管理费、差旅费、维修（护）费、租赁费、会议费、培训费、公务接待费、劳务费、委托业务费、工会经费、福利费、公务用车运行维护费、其他交通费用、其他商品服务支出</w:t>
      </w:r>
      <w:r>
        <w:rPr>
          <w:rFonts w:hint="eastAsia" w:ascii="仿宋" w:hAnsi="仿宋" w:eastAsia="仿宋" w:cs="仿宋"/>
          <w:color w:val="auto"/>
          <w:sz w:val="28"/>
          <w:szCs w:val="28"/>
          <w:highlight w:val="none"/>
          <w:lang w:eastAsia="zh-CN"/>
        </w:rPr>
        <w:t>。</w:t>
      </w:r>
    </w:p>
    <w:p>
      <w:pPr>
        <w:numPr>
          <w:ilvl w:val="0"/>
          <w:numId w:val="1"/>
        </w:numPr>
        <w:spacing w:line="36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20</w:t>
      </w:r>
      <w:r>
        <w:rPr>
          <w:rFonts w:hint="eastAsia" w:ascii="仿宋" w:hAnsi="仿宋" w:eastAsia="仿宋" w:cs="仿宋"/>
          <w:color w:val="auto"/>
          <w:sz w:val="28"/>
          <w:szCs w:val="28"/>
          <w:highlight w:val="none"/>
          <w:lang w:val="en-US" w:eastAsia="zh-CN"/>
        </w:rPr>
        <w:t>22</w:t>
      </w:r>
      <w:r>
        <w:rPr>
          <w:rFonts w:hint="eastAsia" w:ascii="仿宋" w:hAnsi="仿宋" w:eastAsia="仿宋" w:cs="仿宋"/>
          <w:color w:val="auto"/>
          <w:sz w:val="28"/>
          <w:szCs w:val="28"/>
          <w:highlight w:val="none"/>
        </w:rPr>
        <w:t>年项目支出</w:t>
      </w:r>
      <w:r>
        <w:rPr>
          <w:rFonts w:hint="eastAsia" w:ascii="仿宋" w:hAnsi="仿宋" w:eastAsia="仿宋" w:cs="仿宋"/>
          <w:color w:val="auto"/>
          <w:sz w:val="28"/>
          <w:szCs w:val="28"/>
          <w:highlight w:val="none"/>
          <w:lang w:val="en-US" w:eastAsia="zh-CN"/>
        </w:rPr>
        <w:t>1389.5</w:t>
      </w:r>
      <w:r>
        <w:rPr>
          <w:rFonts w:hint="eastAsia" w:ascii="仿宋" w:hAnsi="仿宋" w:eastAsia="仿宋" w:cs="仿宋"/>
          <w:color w:val="auto"/>
          <w:sz w:val="28"/>
          <w:szCs w:val="28"/>
          <w:highlight w:val="none"/>
        </w:rPr>
        <w:t>万元，比20</w:t>
      </w:r>
      <w:r>
        <w:rPr>
          <w:rFonts w:hint="eastAsia" w:ascii="仿宋" w:hAnsi="仿宋" w:eastAsia="仿宋" w:cs="仿宋"/>
          <w:color w:val="auto"/>
          <w:sz w:val="28"/>
          <w:szCs w:val="28"/>
          <w:highlight w:val="none"/>
          <w:lang w:val="en-US" w:eastAsia="zh-CN"/>
        </w:rPr>
        <w:t>21</w:t>
      </w:r>
      <w:r>
        <w:rPr>
          <w:rFonts w:hint="eastAsia" w:ascii="仿宋" w:hAnsi="仿宋" w:eastAsia="仿宋" w:cs="仿宋"/>
          <w:color w:val="auto"/>
          <w:sz w:val="28"/>
          <w:szCs w:val="28"/>
          <w:highlight w:val="none"/>
        </w:rPr>
        <w:t>年同口径</w:t>
      </w:r>
      <w:r>
        <w:rPr>
          <w:rFonts w:hint="eastAsia" w:ascii="仿宋" w:hAnsi="仿宋" w:eastAsia="仿宋" w:cs="仿宋"/>
          <w:color w:val="auto"/>
          <w:sz w:val="28"/>
          <w:szCs w:val="28"/>
          <w:highlight w:val="none"/>
          <w:lang w:eastAsia="zh-CN"/>
        </w:rPr>
        <w:t>减少</w:t>
      </w:r>
      <w:r>
        <w:rPr>
          <w:rFonts w:hint="eastAsia" w:ascii="仿宋" w:hAnsi="仿宋" w:eastAsia="仿宋" w:cs="仿宋"/>
          <w:color w:val="auto"/>
          <w:sz w:val="28"/>
          <w:szCs w:val="28"/>
          <w:highlight w:val="none"/>
          <w:lang w:val="en-US" w:eastAsia="zh-CN"/>
        </w:rPr>
        <w:t>439.94</w:t>
      </w:r>
      <w:r>
        <w:rPr>
          <w:rFonts w:hint="eastAsia" w:ascii="仿宋" w:hAnsi="仿宋" w:eastAsia="仿宋" w:cs="仿宋"/>
          <w:color w:val="auto"/>
          <w:sz w:val="28"/>
          <w:szCs w:val="28"/>
          <w:highlight w:val="none"/>
        </w:rPr>
        <w:t>万元。</w:t>
      </w:r>
      <w:r>
        <w:rPr>
          <w:rFonts w:hint="eastAsia" w:ascii="仿宋" w:hAnsi="仿宋" w:eastAsia="仿宋" w:cs="仿宋"/>
          <w:color w:val="auto"/>
          <w:sz w:val="28"/>
          <w:szCs w:val="28"/>
          <w:highlight w:val="none"/>
          <w:lang w:val="en-US" w:eastAsia="zh-CN"/>
        </w:rPr>
        <w:t xml:space="preserve"> </w:t>
      </w:r>
    </w:p>
    <w:p>
      <w:pPr>
        <w:numPr>
          <w:ilvl w:val="0"/>
          <w:numId w:val="0"/>
        </w:numPr>
        <w:spacing w:line="360" w:lineRule="auto"/>
        <w:ind w:firstLine="56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主要</w:t>
      </w:r>
      <w:r>
        <w:rPr>
          <w:rFonts w:hint="eastAsia" w:ascii="仿宋" w:hAnsi="仿宋" w:eastAsia="仿宋" w:cs="仿宋"/>
          <w:color w:val="auto"/>
          <w:sz w:val="28"/>
          <w:szCs w:val="28"/>
          <w:highlight w:val="none"/>
          <w:lang w:eastAsia="zh-CN"/>
        </w:rPr>
        <w:t>原因为：</w:t>
      </w:r>
      <w:r>
        <w:rPr>
          <w:rFonts w:hint="eastAsia" w:ascii="仿宋" w:hAnsi="仿宋" w:eastAsia="仿宋" w:cs="仿宋"/>
          <w:color w:val="auto"/>
          <w:sz w:val="28"/>
          <w:szCs w:val="28"/>
          <w:highlight w:val="none"/>
          <w:lang w:val="en-US" w:eastAsia="zh-CN"/>
        </w:rPr>
        <w:t>压缩非必要项目支出，节约财政资金。</w:t>
      </w:r>
    </w:p>
    <w:p>
      <w:pP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（三）政府性基金预算支出情况</w:t>
      </w:r>
    </w:p>
    <w:p>
      <w:pPr>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无</w:t>
      </w:r>
    </w:p>
    <w:p>
      <w:pPr>
        <w:spacing w:line="360" w:lineRule="auto"/>
        <w:rPr>
          <w:rFonts w:hint="eastAsia" w:ascii="黑体" w:hAnsi="黑体" w:eastAsia="黑体" w:cs="黑体"/>
          <w:b w:val="0"/>
          <w:bCs w:val="0"/>
          <w:color w:val="auto"/>
          <w:sz w:val="28"/>
          <w:szCs w:val="28"/>
          <w:highlight w:val="none"/>
        </w:rPr>
      </w:pPr>
      <w:r>
        <w:rPr>
          <w:rFonts w:hint="eastAsia" w:ascii="黑体" w:hAnsi="黑体" w:eastAsia="黑体" w:cs="黑体"/>
          <w:b w:val="0"/>
          <w:bCs w:val="0"/>
          <w:color w:val="auto"/>
          <w:sz w:val="28"/>
          <w:szCs w:val="28"/>
          <w:highlight w:val="none"/>
        </w:rPr>
        <w:t>二、“三公”经费情况</w:t>
      </w:r>
    </w:p>
    <w:p>
      <w:pPr>
        <w:spacing w:line="360" w:lineRule="auto"/>
        <w:ind w:firstLine="560" w:firstLineChars="200"/>
        <w:rPr>
          <w:rFonts w:hint="eastAsia" w:ascii="仿宋" w:hAnsi="仿宋" w:eastAsia="仿宋" w:cs="仿宋"/>
          <w:color w:val="FF0000"/>
          <w:sz w:val="28"/>
          <w:szCs w:val="28"/>
          <w:highlight w:val="none"/>
        </w:rPr>
      </w:pPr>
      <w:r>
        <w:rPr>
          <w:rFonts w:hint="eastAsia" w:ascii="仿宋" w:hAnsi="仿宋" w:eastAsia="仿宋" w:cs="仿宋"/>
          <w:color w:val="auto"/>
          <w:sz w:val="28"/>
          <w:szCs w:val="28"/>
          <w:highlight w:val="none"/>
        </w:rPr>
        <w:t>20</w:t>
      </w:r>
      <w:r>
        <w:rPr>
          <w:rFonts w:hint="eastAsia" w:ascii="仿宋" w:hAnsi="仿宋" w:eastAsia="仿宋" w:cs="仿宋"/>
          <w:color w:val="auto"/>
          <w:sz w:val="28"/>
          <w:szCs w:val="28"/>
          <w:highlight w:val="none"/>
          <w:lang w:val="en-US" w:eastAsia="zh-CN"/>
        </w:rPr>
        <w:t>22</w:t>
      </w:r>
      <w:r>
        <w:rPr>
          <w:rFonts w:hint="eastAsia" w:ascii="仿宋" w:hAnsi="仿宋" w:eastAsia="仿宋" w:cs="仿宋"/>
          <w:color w:val="auto"/>
          <w:sz w:val="28"/>
          <w:szCs w:val="28"/>
          <w:highlight w:val="none"/>
        </w:rPr>
        <w:t>年一般公共预算安排的“三公”经费预算</w:t>
      </w:r>
      <w:r>
        <w:rPr>
          <w:rFonts w:hint="eastAsia" w:ascii="仿宋" w:hAnsi="仿宋" w:eastAsia="仿宋" w:cs="仿宋"/>
          <w:color w:val="auto"/>
          <w:sz w:val="28"/>
          <w:szCs w:val="28"/>
          <w:highlight w:val="none"/>
          <w:lang w:val="en-US" w:eastAsia="zh-CN"/>
        </w:rPr>
        <w:t>3.5</w:t>
      </w:r>
      <w:r>
        <w:rPr>
          <w:rFonts w:hint="eastAsia" w:ascii="仿宋" w:hAnsi="仿宋" w:eastAsia="仿宋" w:cs="仿宋"/>
          <w:color w:val="auto"/>
          <w:sz w:val="28"/>
          <w:szCs w:val="28"/>
          <w:highlight w:val="none"/>
        </w:rPr>
        <w:t>万元。</w:t>
      </w:r>
      <w:r>
        <w:rPr>
          <w:rFonts w:hint="eastAsia" w:ascii="仿宋" w:hAnsi="仿宋" w:eastAsia="仿宋" w:cs="仿宋"/>
          <w:color w:val="auto"/>
          <w:sz w:val="28"/>
          <w:szCs w:val="28"/>
          <w:highlight w:val="none"/>
          <w:lang w:eastAsia="zh-CN"/>
        </w:rPr>
        <w:t>为</w:t>
      </w:r>
      <w:r>
        <w:rPr>
          <w:rFonts w:hint="eastAsia" w:ascii="仿宋" w:hAnsi="仿宋" w:eastAsia="仿宋" w:cs="仿宋"/>
          <w:color w:val="auto"/>
          <w:sz w:val="28"/>
          <w:szCs w:val="28"/>
          <w:highlight w:val="none"/>
        </w:rPr>
        <w:t>公务用车运行维护费</w:t>
      </w:r>
      <w:r>
        <w:rPr>
          <w:rFonts w:hint="eastAsia" w:ascii="仿宋" w:hAnsi="仿宋" w:eastAsia="仿宋" w:cs="仿宋"/>
          <w:color w:val="auto"/>
          <w:sz w:val="28"/>
          <w:szCs w:val="28"/>
          <w:highlight w:val="none"/>
          <w:lang w:val="en-US" w:eastAsia="zh-CN"/>
        </w:rPr>
        <w:t>3.5</w:t>
      </w:r>
      <w:r>
        <w:rPr>
          <w:rFonts w:hint="eastAsia" w:ascii="仿宋" w:hAnsi="仿宋" w:eastAsia="仿宋" w:cs="仿宋"/>
          <w:color w:val="auto"/>
          <w:sz w:val="28"/>
          <w:szCs w:val="28"/>
          <w:highlight w:val="none"/>
        </w:rPr>
        <w:t>万元</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与上年相同。</w:t>
      </w:r>
    </w:p>
    <w:p>
      <w:pPr>
        <w:spacing w:line="360" w:lineRule="auto"/>
        <w:rPr>
          <w:rFonts w:hint="eastAsia" w:ascii="黑体" w:hAnsi="黑体" w:eastAsia="黑体" w:cs="黑体"/>
          <w:b w:val="0"/>
          <w:bCs w:val="0"/>
          <w:color w:val="auto"/>
          <w:sz w:val="28"/>
          <w:szCs w:val="28"/>
          <w:highlight w:val="none"/>
        </w:rPr>
      </w:pPr>
      <w:r>
        <w:rPr>
          <w:rFonts w:hint="eastAsia" w:ascii="黑体" w:hAnsi="黑体" w:eastAsia="黑体" w:cs="黑体"/>
          <w:b w:val="0"/>
          <w:bCs w:val="0"/>
          <w:color w:val="auto"/>
          <w:sz w:val="28"/>
          <w:szCs w:val="28"/>
          <w:highlight w:val="none"/>
        </w:rPr>
        <w:t>三、机关运行经费情况</w:t>
      </w:r>
    </w:p>
    <w:p>
      <w:pPr>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20</w:t>
      </w:r>
      <w:r>
        <w:rPr>
          <w:rFonts w:hint="eastAsia" w:ascii="仿宋" w:hAnsi="仿宋" w:eastAsia="仿宋" w:cs="仿宋"/>
          <w:color w:val="auto"/>
          <w:sz w:val="28"/>
          <w:szCs w:val="28"/>
          <w:highlight w:val="none"/>
          <w:lang w:val="en-US" w:eastAsia="zh-CN"/>
        </w:rPr>
        <w:t>21</w:t>
      </w:r>
      <w:r>
        <w:rPr>
          <w:rFonts w:hint="eastAsia" w:ascii="仿宋" w:hAnsi="仿宋" w:eastAsia="仿宋" w:cs="仿宋"/>
          <w:color w:val="auto"/>
          <w:sz w:val="28"/>
          <w:szCs w:val="28"/>
          <w:highlight w:val="none"/>
        </w:rPr>
        <w:t>年市财政局的机关运行经费财政拨款预算共计</w:t>
      </w:r>
      <w:r>
        <w:rPr>
          <w:rFonts w:hint="eastAsia" w:ascii="仿宋" w:hAnsi="仿宋" w:eastAsia="仿宋" w:cs="仿宋"/>
          <w:color w:val="auto"/>
          <w:sz w:val="28"/>
          <w:szCs w:val="28"/>
          <w:highlight w:val="none"/>
          <w:lang w:val="en-US" w:eastAsia="zh-CN"/>
        </w:rPr>
        <w:t>162.38</w:t>
      </w:r>
      <w:r>
        <w:rPr>
          <w:rFonts w:hint="eastAsia" w:ascii="仿宋" w:hAnsi="仿宋" w:eastAsia="仿宋" w:cs="仿宋"/>
          <w:color w:val="auto"/>
          <w:sz w:val="28"/>
          <w:szCs w:val="28"/>
          <w:highlight w:val="none"/>
        </w:rPr>
        <w:t>万元。同口径相比较20</w:t>
      </w:r>
      <w:r>
        <w:rPr>
          <w:rFonts w:hint="eastAsia" w:ascii="仿宋" w:hAnsi="仿宋" w:eastAsia="仿宋" w:cs="仿宋"/>
          <w:color w:val="auto"/>
          <w:sz w:val="28"/>
          <w:szCs w:val="28"/>
          <w:highlight w:val="none"/>
          <w:lang w:val="en-US" w:eastAsia="zh-CN"/>
        </w:rPr>
        <w:t>21</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lang w:eastAsia="zh-CN"/>
        </w:rPr>
        <w:t>增加</w:t>
      </w:r>
      <w:r>
        <w:rPr>
          <w:rFonts w:hint="eastAsia" w:ascii="仿宋" w:hAnsi="仿宋" w:eastAsia="仿宋" w:cs="仿宋"/>
          <w:color w:val="auto"/>
          <w:sz w:val="28"/>
          <w:szCs w:val="28"/>
          <w:highlight w:val="none"/>
          <w:lang w:val="en-US" w:eastAsia="zh-CN"/>
        </w:rPr>
        <w:t>13.73</w:t>
      </w:r>
      <w:r>
        <w:rPr>
          <w:rFonts w:hint="eastAsia" w:ascii="仿宋" w:hAnsi="仿宋" w:eastAsia="仿宋" w:cs="仿宋"/>
          <w:color w:val="auto"/>
          <w:sz w:val="28"/>
          <w:szCs w:val="28"/>
          <w:highlight w:val="none"/>
        </w:rPr>
        <w:t>万元。</w:t>
      </w:r>
      <w:r>
        <w:rPr>
          <w:rFonts w:hint="eastAsia" w:ascii="仿宋" w:hAnsi="仿宋" w:eastAsia="仿宋" w:cs="仿宋"/>
          <w:color w:val="auto"/>
          <w:sz w:val="28"/>
          <w:szCs w:val="28"/>
          <w:highlight w:val="none"/>
          <w:lang w:eastAsia="zh-CN"/>
        </w:rPr>
        <w:t>主要原因为人员数量增加导致公用经费总额增加。</w:t>
      </w:r>
    </w:p>
    <w:p>
      <w:pPr>
        <w:spacing w:line="360" w:lineRule="auto"/>
        <w:rPr>
          <w:rFonts w:hint="eastAsia" w:ascii="黑体" w:hAnsi="黑体" w:eastAsia="黑体" w:cs="黑体"/>
          <w:b w:val="0"/>
          <w:bCs w:val="0"/>
          <w:color w:val="auto"/>
          <w:sz w:val="28"/>
          <w:szCs w:val="28"/>
          <w:highlight w:val="none"/>
        </w:rPr>
      </w:pPr>
      <w:r>
        <w:rPr>
          <w:rFonts w:hint="eastAsia" w:ascii="黑体" w:hAnsi="黑体" w:eastAsia="黑体" w:cs="黑体"/>
          <w:b w:val="0"/>
          <w:bCs w:val="0"/>
          <w:color w:val="auto"/>
          <w:sz w:val="28"/>
          <w:szCs w:val="28"/>
          <w:highlight w:val="none"/>
        </w:rPr>
        <w:t>四、政府采购情况</w:t>
      </w:r>
    </w:p>
    <w:p>
      <w:pPr>
        <w:spacing w:line="360" w:lineRule="auto"/>
        <w:ind w:firstLine="560" w:firstLineChars="200"/>
        <w:rPr>
          <w:rFonts w:hint="eastAsia" w:ascii="仿宋" w:hAnsi="仿宋" w:eastAsia="仿宋" w:cs="仿宋"/>
          <w:b/>
          <w:bCs/>
          <w:color w:val="FF0000"/>
          <w:sz w:val="28"/>
          <w:szCs w:val="28"/>
          <w:highlight w:val="none"/>
        </w:rPr>
      </w:pPr>
      <w:r>
        <w:rPr>
          <w:rFonts w:hint="eastAsia" w:ascii="仿宋" w:hAnsi="仿宋" w:eastAsia="仿宋" w:cs="仿宋"/>
          <w:color w:val="auto"/>
          <w:sz w:val="28"/>
          <w:szCs w:val="28"/>
          <w:highlight w:val="none"/>
        </w:rPr>
        <w:t>20</w:t>
      </w:r>
      <w:r>
        <w:rPr>
          <w:rFonts w:hint="eastAsia" w:ascii="仿宋" w:hAnsi="仿宋" w:eastAsia="仿宋" w:cs="仿宋"/>
          <w:color w:val="auto"/>
          <w:sz w:val="28"/>
          <w:szCs w:val="28"/>
          <w:highlight w:val="none"/>
          <w:lang w:val="en-US" w:eastAsia="zh-CN"/>
        </w:rPr>
        <w:t>22</w:t>
      </w:r>
      <w:r>
        <w:rPr>
          <w:rFonts w:hint="eastAsia" w:ascii="仿宋" w:hAnsi="仿宋" w:eastAsia="仿宋" w:cs="仿宋"/>
          <w:color w:val="auto"/>
          <w:sz w:val="28"/>
          <w:szCs w:val="28"/>
          <w:highlight w:val="none"/>
        </w:rPr>
        <w:t>年市财政局本级政府采购预算总额</w:t>
      </w:r>
      <w:r>
        <w:rPr>
          <w:rFonts w:hint="eastAsia" w:ascii="仿宋" w:hAnsi="仿宋" w:eastAsia="仿宋" w:cs="仿宋"/>
          <w:color w:val="auto"/>
          <w:sz w:val="28"/>
          <w:szCs w:val="28"/>
          <w:highlight w:val="none"/>
          <w:lang w:val="en-US" w:eastAsia="zh-CN"/>
        </w:rPr>
        <w:t>1245.89</w:t>
      </w:r>
      <w:r>
        <w:rPr>
          <w:rFonts w:hint="eastAsia" w:ascii="仿宋" w:hAnsi="仿宋" w:eastAsia="仿宋" w:cs="仿宋"/>
          <w:color w:val="auto"/>
          <w:sz w:val="28"/>
          <w:szCs w:val="28"/>
          <w:highlight w:val="none"/>
        </w:rPr>
        <w:t>万元</w:t>
      </w:r>
      <w:r>
        <w:rPr>
          <w:rFonts w:hint="eastAsia" w:ascii="仿宋" w:hAnsi="仿宋" w:eastAsia="仿宋" w:cs="仿宋"/>
          <w:color w:val="auto"/>
          <w:sz w:val="28"/>
          <w:szCs w:val="28"/>
          <w:highlight w:val="none"/>
          <w:lang w:val="en-US" w:eastAsia="zh-CN"/>
        </w:rPr>
        <w:t>，主要为市级国有资产清查工作经费、绩效评价工作经费、系统维护费、委托业务费等；</w:t>
      </w:r>
      <w:r>
        <w:rPr>
          <w:rFonts w:hint="eastAsia" w:ascii="仿宋" w:hAnsi="仿宋" w:eastAsia="仿宋" w:cs="仿宋"/>
          <w:color w:val="auto"/>
          <w:sz w:val="28"/>
          <w:szCs w:val="28"/>
          <w:highlight w:val="none"/>
        </w:rPr>
        <w:t>严格按照《政府采购法》及相关规章制度执行采购预算。</w:t>
      </w:r>
    </w:p>
    <w:p>
      <w:pPr>
        <w:spacing w:line="360" w:lineRule="auto"/>
        <w:rPr>
          <w:rFonts w:hint="eastAsia" w:ascii="黑体" w:hAnsi="黑体" w:eastAsia="黑体" w:cs="黑体"/>
          <w:b w:val="0"/>
          <w:bCs w:val="0"/>
          <w:color w:val="auto"/>
          <w:sz w:val="28"/>
          <w:szCs w:val="28"/>
          <w:highlight w:val="none"/>
        </w:rPr>
      </w:pPr>
      <w:r>
        <w:rPr>
          <w:rFonts w:hint="eastAsia" w:ascii="黑体" w:hAnsi="黑体" w:eastAsia="黑体" w:cs="黑体"/>
          <w:b w:val="0"/>
          <w:bCs w:val="0"/>
          <w:color w:val="auto"/>
          <w:sz w:val="28"/>
          <w:szCs w:val="28"/>
          <w:highlight w:val="none"/>
        </w:rPr>
        <w:t>五、绩效管理情况</w:t>
      </w:r>
    </w:p>
    <w:p>
      <w:pP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1、绩效管理情况</w:t>
      </w:r>
    </w:p>
    <w:p>
      <w:pPr>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20</w:t>
      </w:r>
      <w:r>
        <w:rPr>
          <w:rFonts w:hint="eastAsia" w:ascii="仿宋" w:hAnsi="仿宋" w:eastAsia="仿宋" w:cs="仿宋"/>
          <w:color w:val="auto"/>
          <w:sz w:val="28"/>
          <w:szCs w:val="28"/>
          <w:highlight w:val="none"/>
          <w:lang w:val="en-US" w:eastAsia="zh-CN"/>
        </w:rPr>
        <w:t>22</w:t>
      </w:r>
      <w:r>
        <w:rPr>
          <w:rFonts w:hint="eastAsia" w:ascii="仿宋" w:hAnsi="仿宋" w:eastAsia="仿宋" w:cs="仿宋"/>
          <w:color w:val="auto"/>
          <w:sz w:val="28"/>
          <w:szCs w:val="28"/>
          <w:highlight w:val="none"/>
        </w:rPr>
        <w:t>年市财政局</w:t>
      </w:r>
      <w:r>
        <w:rPr>
          <w:rFonts w:hint="eastAsia" w:ascii="仿宋" w:hAnsi="仿宋" w:eastAsia="仿宋" w:cs="仿宋"/>
          <w:color w:val="auto"/>
          <w:sz w:val="28"/>
          <w:szCs w:val="28"/>
          <w:highlight w:val="none"/>
          <w:lang w:eastAsia="zh-CN"/>
        </w:rPr>
        <w:t>（本级）</w:t>
      </w:r>
      <w:r>
        <w:rPr>
          <w:rFonts w:hint="eastAsia" w:ascii="仿宋" w:hAnsi="仿宋" w:eastAsia="仿宋" w:cs="仿宋"/>
          <w:color w:val="auto"/>
          <w:sz w:val="28"/>
          <w:szCs w:val="28"/>
          <w:highlight w:val="none"/>
          <w:lang w:val="en-US" w:eastAsia="zh-CN"/>
        </w:rPr>
        <w:t>23个</w:t>
      </w:r>
      <w:r>
        <w:rPr>
          <w:rFonts w:hint="eastAsia" w:ascii="仿宋" w:hAnsi="仿宋" w:eastAsia="仿宋" w:cs="仿宋"/>
          <w:color w:val="auto"/>
          <w:sz w:val="28"/>
          <w:szCs w:val="28"/>
          <w:highlight w:val="none"/>
        </w:rPr>
        <w:t>项目全部实施绩效目标管理，实现财政预算绩效目标管理全覆盖。</w:t>
      </w:r>
    </w:p>
    <w:p>
      <w:pP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2、绩效目标情况</w:t>
      </w:r>
    </w:p>
    <w:p>
      <w:pPr>
        <w:numPr>
          <w:numId w:val="0"/>
        </w:numPr>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在实施绩效目标管理的项目中，资金较大的项目有</w:t>
      </w:r>
      <w:r>
        <w:rPr>
          <w:rFonts w:hint="eastAsia" w:ascii="仿宋" w:hAnsi="仿宋" w:eastAsia="仿宋" w:cs="仿宋"/>
          <w:color w:val="auto"/>
          <w:sz w:val="28"/>
          <w:szCs w:val="28"/>
          <w:highlight w:val="none"/>
          <w:lang w:eastAsia="zh-CN"/>
        </w:rPr>
        <w:t>市级国有资产清查项目、绩效工作经费、培训费、公益二类</w:t>
      </w:r>
      <w:r>
        <w:rPr>
          <w:rFonts w:hint="eastAsia" w:ascii="仿宋" w:hAnsi="仿宋" w:eastAsia="仿宋" w:cs="仿宋"/>
          <w:color w:val="auto"/>
          <w:sz w:val="28"/>
          <w:szCs w:val="28"/>
          <w:highlight w:val="none"/>
        </w:rPr>
        <w:t>事业单位政府购买服务</w:t>
      </w:r>
      <w:r>
        <w:rPr>
          <w:rFonts w:hint="eastAsia" w:ascii="仿宋" w:hAnsi="仿宋" w:eastAsia="仿宋" w:cs="仿宋"/>
          <w:color w:val="auto"/>
          <w:sz w:val="28"/>
          <w:szCs w:val="28"/>
          <w:highlight w:val="none"/>
          <w:lang w:eastAsia="zh-CN"/>
        </w:rPr>
        <w:t>等项目</w:t>
      </w:r>
      <w:r>
        <w:rPr>
          <w:rFonts w:hint="eastAsia" w:ascii="仿宋" w:hAnsi="仿宋" w:eastAsia="仿宋" w:cs="仿宋"/>
          <w:color w:val="auto"/>
          <w:sz w:val="28"/>
          <w:szCs w:val="28"/>
          <w:highlight w:val="none"/>
        </w:rPr>
        <w:t>。</w:t>
      </w:r>
    </w:p>
    <w:p>
      <w:pPr>
        <w:spacing w:line="360" w:lineRule="auto"/>
        <w:ind w:firstLine="56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公益二类事业单位政府购买服务（大同市财政服务中心）</w:t>
      </w:r>
    </w:p>
    <w:p>
      <w:pPr>
        <w:numPr>
          <w:ilvl w:val="0"/>
          <w:numId w:val="0"/>
        </w:numPr>
        <w:spacing w:line="360" w:lineRule="auto"/>
        <w:ind w:firstLine="56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年度预算安排：一般公共预算财政拨款</w:t>
      </w:r>
      <w:r>
        <w:rPr>
          <w:rFonts w:hint="eastAsia" w:ascii="仿宋" w:hAnsi="仿宋" w:eastAsia="仿宋" w:cs="仿宋"/>
          <w:color w:val="auto"/>
          <w:sz w:val="28"/>
          <w:szCs w:val="28"/>
          <w:highlight w:val="none"/>
          <w:lang w:val="en-US" w:eastAsia="zh-CN"/>
        </w:rPr>
        <w:t>384.33万元</w:t>
      </w:r>
    </w:p>
    <w:p>
      <w:pPr>
        <w:numPr>
          <w:ilvl w:val="0"/>
          <w:numId w:val="0"/>
        </w:numPr>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项目概况：</w:t>
      </w:r>
      <w:r>
        <w:rPr>
          <w:rFonts w:hint="eastAsia" w:ascii="仿宋" w:hAnsi="仿宋" w:eastAsia="仿宋" w:cs="仿宋"/>
          <w:color w:val="auto"/>
          <w:sz w:val="28"/>
          <w:szCs w:val="28"/>
          <w:highlight w:val="none"/>
        </w:rPr>
        <w:t>根据中央职称改革领导小组关于转发财政部《会计专业职务试行条例》及《实施意见》的通知组织全国会计专业技术资格初中级考试及全市会计人员业务培训。</w:t>
      </w:r>
    </w:p>
    <w:p>
      <w:pPr>
        <w:numPr>
          <w:ilvl w:val="0"/>
          <w:numId w:val="0"/>
        </w:numP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对市直行政事业单位申报的资产核实资料，根据资产管理有关规定，按申报项目和所提供的外部证明材料进行审核，并提出核实意见，按审批权限报送审批。</w:t>
      </w:r>
    </w:p>
    <w:p>
      <w:pPr>
        <w:numPr>
          <w:ilvl w:val="0"/>
          <w:numId w:val="0"/>
        </w:numPr>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年度目标：正确贯彻执行有关的财经方针、政策和财务会计法规、制度。保障财政工作顺利进行，保障部门职能的正常履行和部门日常工作的正常开展。</w:t>
      </w:r>
    </w:p>
    <w:p>
      <w:pPr>
        <w:numPr>
          <w:ilvl w:val="0"/>
          <w:numId w:val="0"/>
        </w:numPr>
        <w:spacing w:line="36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lang w:eastAsia="zh-CN"/>
        </w:rPr>
        <w:t>）绩效工作经费</w:t>
      </w:r>
    </w:p>
    <w:p>
      <w:pPr>
        <w:numPr>
          <w:ilvl w:val="0"/>
          <w:numId w:val="0"/>
        </w:numPr>
        <w:spacing w:line="36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年度预算安排：一般公共预算财政拨款</w:t>
      </w:r>
      <w:r>
        <w:rPr>
          <w:rFonts w:hint="eastAsia" w:ascii="仿宋" w:hAnsi="仿宋" w:eastAsia="仿宋" w:cs="仿宋"/>
          <w:color w:val="auto"/>
          <w:sz w:val="28"/>
          <w:szCs w:val="28"/>
          <w:highlight w:val="none"/>
          <w:lang w:val="en-US" w:eastAsia="zh-CN"/>
        </w:rPr>
        <w:t>180万元</w:t>
      </w:r>
    </w:p>
    <w:p>
      <w:pPr>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项目概况：为确保我市在2022年底前完成省厅的目标考核任务，基本建成全方位、全过程、全覆盖的预算绩效管理体系，顺利通过验收。结合我市预算绩效管理工作现状，具体事项工作如下：</w:t>
      </w:r>
    </w:p>
    <w:p>
      <w:pPr>
        <w:numPr>
          <w:ilvl w:val="0"/>
          <w:numId w:val="2"/>
        </w:numPr>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组织市本级预算部门（单位）对本部门本单位项目支出开展绩效自评，并对部门自评结果进行梳理汇总工作；2、组织市本级预算部门（单位）对本部门本单位项目运行开展绩效监控，并对监控结果进行分析汇总工作；3.组织市本级部门（单位）项目支出开展绩效评价（包括PPP项目绩效评价）；4.建立大同市分行业分领域分层次绩效指标和指标体系工作；5.开展财政项目支出事前绩效评估试点工作；6.组织全市负责财政预算绩效管理工作人员业务培训工作。</w:t>
      </w:r>
    </w:p>
    <w:p>
      <w:pPr>
        <w:numPr>
          <w:ilvl w:val="0"/>
          <w:numId w:val="0"/>
        </w:numPr>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年度</w:t>
      </w:r>
      <w:r>
        <w:rPr>
          <w:rFonts w:hint="eastAsia" w:ascii="仿宋" w:hAnsi="仿宋" w:eastAsia="仿宋" w:cs="仿宋"/>
          <w:color w:val="auto"/>
          <w:sz w:val="28"/>
          <w:szCs w:val="28"/>
          <w:highlight w:val="none"/>
        </w:rPr>
        <w:t>目标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基本搭建起涵盖事前绩效评估、绩效目标管理、绩效运行监控、绩效评价管理、评价结果应用管理等重点环节的“全过程”预算绩效管理制度框架，并搭建大同市预算绩效指标体系。</w:t>
      </w:r>
    </w:p>
    <w:p>
      <w:pPr>
        <w:numPr>
          <w:numId w:val="0"/>
        </w:numPr>
        <w:spacing w:line="36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lang w:eastAsia="zh-CN"/>
        </w:rPr>
        <w:t>）大同市市级2021年大同市级国有资产清查工作经费</w:t>
      </w:r>
    </w:p>
    <w:p>
      <w:pPr>
        <w:numPr>
          <w:ilvl w:val="0"/>
          <w:numId w:val="0"/>
        </w:numPr>
        <w:spacing w:line="360" w:lineRule="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年度预算安排：一般公共预算财政拨款</w:t>
      </w:r>
      <w:r>
        <w:rPr>
          <w:rFonts w:hint="eastAsia" w:ascii="仿宋" w:hAnsi="仿宋" w:eastAsia="仿宋" w:cs="仿宋"/>
          <w:color w:val="auto"/>
          <w:sz w:val="28"/>
          <w:szCs w:val="28"/>
          <w:highlight w:val="none"/>
          <w:lang w:val="en-US" w:eastAsia="zh-CN"/>
        </w:rPr>
        <w:t>200万元</w:t>
      </w:r>
    </w:p>
    <w:p>
      <w:pPr>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项目概况：根据《大同市市级2021年大同市级国有资产清查工作方案》，进行国有资产清查工作，聘请第三方会计师事务所机构协助进行。</w:t>
      </w:r>
    </w:p>
    <w:p>
      <w:pPr>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绩效目标</w:t>
      </w:r>
      <w:r>
        <w:rPr>
          <w:rFonts w:hint="eastAsia" w:ascii="仿宋" w:hAnsi="仿宋" w:eastAsia="仿宋" w:cs="仿宋"/>
          <w:color w:val="auto"/>
          <w:sz w:val="28"/>
          <w:szCs w:val="28"/>
          <w:highlight w:val="none"/>
          <w:lang w:eastAsia="zh-CN"/>
        </w:rPr>
        <w:t>： 计划选聘9家左右会计师事务所进驻，我市400多家行政事业单位开展相关审核工作。及时高效完成相关报表和报告的编制上报工作、圆满完成国有资产清查工作。</w:t>
      </w:r>
    </w:p>
    <w:p>
      <w:pPr>
        <w:numPr>
          <w:ilvl w:val="0"/>
          <w:numId w:val="3"/>
        </w:numPr>
        <w:spacing w:line="360" w:lineRule="auto"/>
        <w:ind w:left="0" w:leftChars="0" w:firstLine="0" w:firstLineChars="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培训费</w:t>
      </w:r>
    </w:p>
    <w:p>
      <w:pPr>
        <w:numPr>
          <w:ilvl w:val="0"/>
          <w:numId w:val="0"/>
        </w:numPr>
        <w:spacing w:line="360" w:lineRule="auto"/>
        <w:ind w:leftChars="0"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年度预算安排：一般公共预算财政拨款</w:t>
      </w:r>
      <w:r>
        <w:rPr>
          <w:rFonts w:hint="eastAsia" w:ascii="仿宋" w:hAnsi="仿宋" w:eastAsia="仿宋" w:cs="仿宋"/>
          <w:color w:val="auto"/>
          <w:sz w:val="28"/>
          <w:szCs w:val="28"/>
          <w:highlight w:val="none"/>
          <w:lang w:val="en-US" w:eastAsia="zh-CN"/>
        </w:rPr>
        <w:t>135.18万元</w:t>
      </w:r>
    </w:p>
    <w:p>
      <w:pPr>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项目概况：大同市财政局的主要职能之一是组织全市财政人员培训，此项目计划如下：</w:t>
      </w:r>
    </w:p>
    <w:p>
      <w:pPr>
        <w:numPr>
          <w:ilvl w:val="0"/>
          <w:numId w:val="0"/>
        </w:numPr>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lang w:eastAsia="zh-CN"/>
        </w:rPr>
        <w:t>全市预算单位绩效评价培训</w:t>
      </w:r>
    </w:p>
    <w:p>
      <w:pPr>
        <w:numPr>
          <w:ilvl w:val="0"/>
          <w:numId w:val="0"/>
        </w:numPr>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2.全市债务系统业务相关培训</w:t>
      </w:r>
    </w:p>
    <w:p>
      <w:pPr>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3.决算布置会培训</w:t>
      </w:r>
    </w:p>
    <w:p>
      <w:pPr>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4.按照省、市目标责任制考核工作要求，对市属及各县区财政部门定期进行监督检查业务培训，安排培训</w:t>
      </w:r>
    </w:p>
    <w:p>
      <w:pPr>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5.6月份资产管理政策培训，全市市级517个行政事业单位</w:t>
      </w:r>
    </w:p>
    <w:p>
      <w:pPr>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6.12月份资产系统管理培训</w:t>
      </w:r>
    </w:p>
    <w:p>
      <w:pPr>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7.2022年度珠算、珠心算参赛</w:t>
      </w:r>
    </w:p>
    <w:p>
      <w:pPr>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8.行政事业单位内部控培训</w:t>
      </w:r>
    </w:p>
    <w:p>
      <w:pPr>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9.行政事业单位政府会计准则制度培训</w:t>
      </w:r>
    </w:p>
    <w:p>
      <w:pPr>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10.市级代理记账机构会计人员培训</w:t>
      </w:r>
    </w:p>
    <w:p>
      <w:pPr>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11.预算编制布置会，500家预算单位</w:t>
      </w:r>
    </w:p>
    <w:p>
      <w:pPr>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12.预算一体化系统培训，500家预算单位</w:t>
      </w:r>
    </w:p>
    <w:p>
      <w:pPr>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13.县区农业农村财会干部培训</w:t>
      </w:r>
    </w:p>
    <w:p>
      <w:pPr>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绩效目标</w:t>
      </w:r>
      <w:r>
        <w:rPr>
          <w:rFonts w:hint="eastAsia" w:ascii="仿宋" w:hAnsi="仿宋" w:eastAsia="仿宋" w:cs="仿宋"/>
          <w:color w:val="auto"/>
          <w:sz w:val="28"/>
          <w:szCs w:val="28"/>
          <w:highlight w:val="none"/>
          <w:lang w:eastAsia="zh-CN"/>
        </w:rPr>
        <w:t>： 圆满完成各项培训计划，保障财政工作正常开展</w:t>
      </w:r>
    </w:p>
    <w:p>
      <w:pPr>
        <w:spacing w:line="360" w:lineRule="auto"/>
        <w:rPr>
          <w:rFonts w:hint="eastAsia" w:ascii="仿宋" w:hAnsi="仿宋" w:eastAsia="仿宋" w:cs="仿宋"/>
          <w:color w:val="auto"/>
          <w:sz w:val="28"/>
          <w:szCs w:val="28"/>
          <w:highlight w:val="none"/>
        </w:rPr>
      </w:pPr>
    </w:p>
    <w:p>
      <w:pPr>
        <w:spacing w:line="360" w:lineRule="auto"/>
        <w:rPr>
          <w:rFonts w:hint="eastAsia" w:ascii="黑体" w:hAnsi="黑体" w:eastAsia="黑体" w:cs="黑体"/>
          <w:b w:val="0"/>
          <w:bCs w:val="0"/>
          <w:color w:val="auto"/>
          <w:sz w:val="28"/>
          <w:szCs w:val="28"/>
          <w:highlight w:val="none"/>
        </w:rPr>
      </w:pPr>
      <w:r>
        <w:rPr>
          <w:rFonts w:hint="eastAsia" w:ascii="黑体" w:hAnsi="黑体" w:eastAsia="黑体" w:cs="黑体"/>
          <w:b w:val="0"/>
          <w:bCs w:val="0"/>
          <w:color w:val="auto"/>
          <w:sz w:val="28"/>
          <w:szCs w:val="28"/>
          <w:highlight w:val="none"/>
        </w:rPr>
        <w:t>六、国有资产占有使用情况</w:t>
      </w:r>
    </w:p>
    <w:p>
      <w:pP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1、车辆情况</w:t>
      </w:r>
    </w:p>
    <w:p>
      <w:pPr>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公务用车制度改革后，局</w:t>
      </w:r>
      <w:r>
        <w:rPr>
          <w:rFonts w:hint="eastAsia" w:ascii="仿宋" w:hAnsi="仿宋" w:eastAsia="仿宋" w:cs="仿宋"/>
          <w:color w:val="auto"/>
          <w:sz w:val="28"/>
          <w:szCs w:val="28"/>
          <w:highlight w:val="none"/>
          <w:lang w:eastAsia="zh-CN"/>
        </w:rPr>
        <w:t>本级</w:t>
      </w:r>
      <w:r>
        <w:rPr>
          <w:rFonts w:hint="eastAsia" w:ascii="仿宋" w:hAnsi="仿宋" w:eastAsia="仿宋" w:cs="仿宋"/>
          <w:color w:val="auto"/>
          <w:sz w:val="28"/>
          <w:szCs w:val="28"/>
          <w:highlight w:val="none"/>
        </w:rPr>
        <w:t>核定保留的机要通信及工作用车</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辆。</w:t>
      </w:r>
    </w:p>
    <w:p>
      <w:pP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2、房屋情况</w:t>
      </w:r>
    </w:p>
    <w:p>
      <w:pPr>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市</w:t>
      </w:r>
      <w:r>
        <w:rPr>
          <w:rFonts w:hint="eastAsia" w:ascii="仿宋" w:hAnsi="仿宋" w:eastAsia="仿宋" w:cs="仿宋"/>
          <w:color w:val="auto"/>
          <w:sz w:val="28"/>
          <w:szCs w:val="28"/>
          <w:highlight w:val="none"/>
        </w:rPr>
        <w:t>财政</w:t>
      </w:r>
      <w:r>
        <w:rPr>
          <w:rFonts w:hint="eastAsia" w:ascii="仿宋" w:hAnsi="仿宋" w:eastAsia="仿宋" w:cs="仿宋"/>
          <w:color w:val="auto"/>
          <w:sz w:val="28"/>
          <w:szCs w:val="28"/>
          <w:highlight w:val="none"/>
          <w:lang w:eastAsia="zh-CN"/>
        </w:rPr>
        <w:t>局（本级）</w:t>
      </w:r>
      <w:r>
        <w:rPr>
          <w:rFonts w:hint="eastAsia" w:ascii="仿宋" w:hAnsi="仿宋" w:eastAsia="仿宋" w:cs="仿宋"/>
          <w:color w:val="auto"/>
          <w:sz w:val="28"/>
          <w:szCs w:val="28"/>
          <w:highlight w:val="none"/>
        </w:rPr>
        <w:t>共有房屋</w:t>
      </w:r>
      <w:r>
        <w:rPr>
          <w:rFonts w:hint="eastAsia" w:ascii="仿宋" w:hAnsi="仿宋" w:eastAsia="仿宋" w:cs="仿宋"/>
          <w:color w:val="auto"/>
          <w:sz w:val="28"/>
          <w:szCs w:val="28"/>
          <w:highlight w:val="none"/>
          <w:lang w:val="en-US" w:eastAsia="zh-CN"/>
        </w:rPr>
        <w:t>9852</w:t>
      </w:r>
      <w:r>
        <w:rPr>
          <w:rFonts w:hint="eastAsia" w:ascii="仿宋" w:hAnsi="仿宋" w:eastAsia="仿宋" w:cs="仿宋"/>
          <w:color w:val="auto"/>
          <w:sz w:val="28"/>
          <w:szCs w:val="28"/>
          <w:highlight w:val="none"/>
        </w:rPr>
        <w:t>平方米。其中办公用房</w:t>
      </w:r>
      <w:r>
        <w:rPr>
          <w:rFonts w:hint="eastAsia" w:ascii="仿宋" w:hAnsi="仿宋" w:eastAsia="仿宋" w:cs="仿宋"/>
          <w:color w:val="auto"/>
          <w:sz w:val="28"/>
          <w:szCs w:val="28"/>
          <w:highlight w:val="none"/>
          <w:lang w:val="en-US" w:eastAsia="zh-CN"/>
        </w:rPr>
        <w:t>9836</w:t>
      </w:r>
      <w:r>
        <w:rPr>
          <w:rFonts w:hint="eastAsia" w:ascii="仿宋" w:hAnsi="仿宋" w:eastAsia="仿宋" w:cs="仿宋"/>
          <w:color w:val="auto"/>
          <w:sz w:val="28"/>
          <w:szCs w:val="28"/>
          <w:highlight w:val="none"/>
        </w:rPr>
        <w:t>平方米，</w:t>
      </w:r>
      <w:r>
        <w:rPr>
          <w:rFonts w:hint="eastAsia" w:ascii="仿宋" w:hAnsi="仿宋" w:eastAsia="仿宋" w:cs="仿宋"/>
          <w:color w:val="auto"/>
          <w:sz w:val="28"/>
          <w:szCs w:val="28"/>
          <w:highlight w:val="none"/>
          <w:lang w:eastAsia="zh-CN"/>
        </w:rPr>
        <w:t>业务用房</w:t>
      </w:r>
      <w:r>
        <w:rPr>
          <w:rFonts w:hint="eastAsia" w:ascii="仿宋" w:hAnsi="仿宋" w:eastAsia="仿宋" w:cs="仿宋"/>
          <w:color w:val="auto"/>
          <w:sz w:val="28"/>
          <w:szCs w:val="28"/>
          <w:highlight w:val="none"/>
          <w:lang w:val="en-US" w:eastAsia="zh-CN"/>
        </w:rPr>
        <w:t>0平方米，</w:t>
      </w:r>
      <w:r>
        <w:rPr>
          <w:rFonts w:hint="eastAsia" w:ascii="仿宋" w:hAnsi="仿宋" w:eastAsia="仿宋" w:cs="仿宋"/>
          <w:color w:val="auto"/>
          <w:sz w:val="28"/>
          <w:szCs w:val="28"/>
          <w:highlight w:val="none"/>
        </w:rPr>
        <w:t>其他（不含构筑物）</w:t>
      </w:r>
      <w:r>
        <w:rPr>
          <w:rFonts w:hint="eastAsia" w:ascii="仿宋" w:hAnsi="仿宋" w:eastAsia="仿宋" w:cs="仿宋"/>
          <w:color w:val="auto"/>
          <w:sz w:val="28"/>
          <w:szCs w:val="28"/>
          <w:highlight w:val="none"/>
          <w:lang w:val="en-US" w:eastAsia="zh-CN"/>
        </w:rPr>
        <w:t>16</w:t>
      </w:r>
      <w:r>
        <w:rPr>
          <w:rFonts w:hint="eastAsia" w:ascii="仿宋" w:hAnsi="仿宋" w:eastAsia="仿宋" w:cs="仿宋"/>
          <w:color w:val="auto"/>
          <w:sz w:val="28"/>
          <w:szCs w:val="28"/>
          <w:highlight w:val="none"/>
        </w:rPr>
        <w:t>平方米。</w:t>
      </w:r>
    </w:p>
    <w:p>
      <w:pP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3、其他国有资产占有使用情况</w:t>
      </w:r>
    </w:p>
    <w:p>
      <w:pPr>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大同市财政局</w:t>
      </w:r>
      <w:r>
        <w:rPr>
          <w:rFonts w:hint="eastAsia" w:ascii="仿宋" w:hAnsi="仿宋" w:eastAsia="仿宋" w:cs="仿宋"/>
          <w:color w:val="auto"/>
          <w:sz w:val="28"/>
          <w:szCs w:val="28"/>
          <w:highlight w:val="none"/>
          <w:lang w:eastAsia="zh-CN"/>
        </w:rPr>
        <w:t>无</w:t>
      </w:r>
      <w:r>
        <w:rPr>
          <w:rFonts w:hint="eastAsia" w:ascii="仿宋" w:hAnsi="仿宋" w:eastAsia="仿宋" w:cs="仿宋"/>
          <w:color w:val="auto"/>
          <w:sz w:val="28"/>
          <w:szCs w:val="28"/>
          <w:highlight w:val="none"/>
        </w:rPr>
        <w:t>单位价值50</w:t>
      </w:r>
      <w:bookmarkStart w:id="0" w:name="_GoBack"/>
      <w:bookmarkEnd w:id="0"/>
      <w:r>
        <w:rPr>
          <w:rFonts w:hint="eastAsia" w:ascii="仿宋" w:hAnsi="仿宋" w:eastAsia="仿宋" w:cs="仿宋"/>
          <w:color w:val="auto"/>
          <w:sz w:val="28"/>
          <w:szCs w:val="28"/>
          <w:highlight w:val="none"/>
        </w:rPr>
        <w:t>万元以上通用设备和单位价值100万元以上专用设备。</w:t>
      </w:r>
    </w:p>
    <w:p>
      <w:pPr>
        <w:spacing w:line="360" w:lineRule="auto"/>
        <w:rPr>
          <w:rFonts w:hint="eastAsia" w:ascii="黑体" w:hAnsi="黑体" w:eastAsia="黑体" w:cs="黑体"/>
          <w:color w:val="auto"/>
          <w:sz w:val="28"/>
          <w:szCs w:val="28"/>
          <w:highlight w:val="none"/>
        </w:rPr>
      </w:pPr>
      <w:r>
        <w:rPr>
          <w:rFonts w:hint="eastAsia" w:ascii="黑体" w:hAnsi="黑体" w:eastAsia="黑体" w:cs="黑体"/>
          <w:b w:val="0"/>
          <w:bCs w:val="0"/>
          <w:color w:val="auto"/>
          <w:sz w:val="28"/>
          <w:szCs w:val="28"/>
          <w:highlight w:val="none"/>
        </w:rPr>
        <w:t>第四部分  名词解释</w:t>
      </w:r>
    </w:p>
    <w:p>
      <w:pP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一、基本支出：指为保障机构正常运转、完成日常工作任务而发生的人员支出和公用支出。</w:t>
      </w:r>
    </w:p>
    <w:p>
      <w:pP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二、项目支出：指在基本支出之外为完成特定行政任务和事业发展目标所发生的支出。</w:t>
      </w:r>
    </w:p>
    <w:p>
      <w:pP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三、“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四、机关运行经费：指行政单位和参照公务员法管理的事业单位使用一般公共预算安排的基本支出中的日常公用经费支出。</w:t>
      </w:r>
    </w:p>
    <w:p>
      <w:pPr>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五、政府购买服务：根据我国现行政策规定，政府购买服务，是指政府按照一定的方式和程序，把属于政府职责范围且适合通过市场化方式提供的服务事项，交由符合条件的社会力量和事业单位承担，并根据服务数量和质量等向其支付费用的行为。政府购买服务是一种契约化的公共服务提供方式，具有权责清晰、结果导向、灵活高效等特点。</w:t>
      </w:r>
    </w:p>
    <w:p>
      <w:pPr>
        <w:spacing w:line="360" w:lineRule="auto"/>
        <w:rPr>
          <w:rFonts w:hint="eastAsia" w:ascii="仿宋" w:hAnsi="仿宋" w:eastAsia="仿宋" w:cs="仿宋"/>
          <w:color w:val="auto"/>
          <w:sz w:val="28"/>
          <w:szCs w:val="28"/>
          <w:highlight w:val="none"/>
        </w:rPr>
      </w:pPr>
    </w:p>
    <w:p>
      <w:pPr>
        <w:spacing w:line="360" w:lineRule="auto"/>
        <w:rPr>
          <w:rFonts w:hint="eastAsia" w:ascii="仿宋" w:hAnsi="仿宋" w:eastAsia="仿宋" w:cs="仿宋"/>
          <w:color w:val="auto"/>
          <w:sz w:val="28"/>
          <w:szCs w:val="28"/>
          <w:highlight w:val="none"/>
        </w:rPr>
      </w:pPr>
    </w:p>
    <w:p>
      <w:pPr>
        <w:spacing w:line="360" w:lineRule="auto"/>
        <w:rPr>
          <w:rFonts w:hint="eastAsia" w:ascii="仿宋" w:hAnsi="仿宋" w:eastAsia="仿宋" w:cs="仿宋"/>
          <w:color w:val="auto"/>
          <w:sz w:val="28"/>
          <w:szCs w:val="28"/>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6C4E26"/>
    <w:multiLevelType w:val="singleLevel"/>
    <w:tmpl w:val="DE6C4E26"/>
    <w:lvl w:ilvl="0" w:tentative="0">
      <w:start w:val="4"/>
      <w:numFmt w:val="decimal"/>
      <w:suff w:val="nothing"/>
      <w:lvlText w:val="（%1）"/>
      <w:lvlJc w:val="left"/>
    </w:lvl>
  </w:abstractNum>
  <w:abstractNum w:abstractNumId="1">
    <w:nsid w:val="09BC5605"/>
    <w:multiLevelType w:val="singleLevel"/>
    <w:tmpl w:val="09BC5605"/>
    <w:lvl w:ilvl="0" w:tentative="0">
      <w:start w:val="1"/>
      <w:numFmt w:val="decimal"/>
      <w:suff w:val="nothing"/>
      <w:lvlText w:val="%1、"/>
      <w:lvlJc w:val="left"/>
    </w:lvl>
  </w:abstractNum>
  <w:abstractNum w:abstractNumId="2">
    <w:nsid w:val="460D66A9"/>
    <w:multiLevelType w:val="singleLevel"/>
    <w:tmpl w:val="460D66A9"/>
    <w:lvl w:ilvl="0" w:tentative="0">
      <w:start w:val="2"/>
      <w:numFmt w:val="decimal"/>
      <w:suff w:val="space"/>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3703C4"/>
    <w:rsid w:val="09B0696E"/>
    <w:rsid w:val="0AFB242B"/>
    <w:rsid w:val="0E3B780D"/>
    <w:rsid w:val="13913725"/>
    <w:rsid w:val="140A233F"/>
    <w:rsid w:val="162D192B"/>
    <w:rsid w:val="1783637D"/>
    <w:rsid w:val="1CAE5161"/>
    <w:rsid w:val="1F6B3E0B"/>
    <w:rsid w:val="21574D5C"/>
    <w:rsid w:val="2276597E"/>
    <w:rsid w:val="2422548D"/>
    <w:rsid w:val="252D192B"/>
    <w:rsid w:val="25FF5A8B"/>
    <w:rsid w:val="27C41B9F"/>
    <w:rsid w:val="2C3703C4"/>
    <w:rsid w:val="2C9F1DCF"/>
    <w:rsid w:val="2D3235CD"/>
    <w:rsid w:val="2E44049D"/>
    <w:rsid w:val="305902D1"/>
    <w:rsid w:val="34E046BE"/>
    <w:rsid w:val="36EC4961"/>
    <w:rsid w:val="37DF771F"/>
    <w:rsid w:val="39C02587"/>
    <w:rsid w:val="3CF75270"/>
    <w:rsid w:val="3D303200"/>
    <w:rsid w:val="43FB5DD4"/>
    <w:rsid w:val="47087965"/>
    <w:rsid w:val="48C6062C"/>
    <w:rsid w:val="498F5164"/>
    <w:rsid w:val="4D6026F0"/>
    <w:rsid w:val="4EA12BA0"/>
    <w:rsid w:val="4EC45820"/>
    <w:rsid w:val="4EFF40CF"/>
    <w:rsid w:val="4F500BF0"/>
    <w:rsid w:val="52186589"/>
    <w:rsid w:val="53A3111D"/>
    <w:rsid w:val="546551A7"/>
    <w:rsid w:val="55464A4C"/>
    <w:rsid w:val="55962ECC"/>
    <w:rsid w:val="565D5AB9"/>
    <w:rsid w:val="5967705C"/>
    <w:rsid w:val="5A984780"/>
    <w:rsid w:val="5C4323AB"/>
    <w:rsid w:val="5CD65528"/>
    <w:rsid w:val="5F7E7026"/>
    <w:rsid w:val="607277C5"/>
    <w:rsid w:val="60E82BEE"/>
    <w:rsid w:val="62672D1B"/>
    <w:rsid w:val="62E477CF"/>
    <w:rsid w:val="63DE5B7D"/>
    <w:rsid w:val="646E367D"/>
    <w:rsid w:val="64BE5D95"/>
    <w:rsid w:val="655C2CA0"/>
    <w:rsid w:val="686D426F"/>
    <w:rsid w:val="68D67B2A"/>
    <w:rsid w:val="6C952289"/>
    <w:rsid w:val="6CF7054F"/>
    <w:rsid w:val="6EC06594"/>
    <w:rsid w:val="70DE4403"/>
    <w:rsid w:val="72074B60"/>
    <w:rsid w:val="72895163"/>
    <w:rsid w:val="7538526C"/>
    <w:rsid w:val="75616774"/>
    <w:rsid w:val="75B31560"/>
    <w:rsid w:val="777432BD"/>
    <w:rsid w:val="79A80EF3"/>
    <w:rsid w:val="7A2F5F39"/>
    <w:rsid w:val="7C894757"/>
    <w:rsid w:val="7EC81A99"/>
    <w:rsid w:val="7F1E27A4"/>
    <w:rsid w:val="7F48061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table of authorities"/>
    <w:basedOn w:val="1"/>
    <w:next w:val="1"/>
    <w:qFormat/>
    <w:uiPriority w:val="0"/>
    <w:pPr>
      <w:ind w:left="420" w:leftChars="200"/>
    </w:pPr>
  </w:style>
  <w:style w:type="character" w:customStyle="1" w:styleId="5">
    <w:name w:val="rbtn"/>
    <w:basedOn w:val="3"/>
    <w:qFormat/>
    <w:uiPriority w:val="0"/>
    <w:rPr>
      <w:color w:val="469DEA"/>
      <w:bdr w:val="single" w:color="E5E5E5" w:sz="6" w:space="0"/>
    </w:rPr>
  </w:style>
  <w:style w:type="character" w:customStyle="1" w:styleId="6">
    <w:name w:val="rbtn1"/>
    <w:basedOn w:val="3"/>
    <w:qFormat/>
    <w:uiPriority w:val="0"/>
    <w:rPr>
      <w:color w:val="469DEA"/>
      <w:sz w:val="21"/>
      <w:szCs w:val="21"/>
      <w:bdr w:val="single" w:color="E5E5E5" w:sz="6" w:space="0"/>
    </w:rPr>
  </w:style>
  <w:style w:type="character" w:customStyle="1" w:styleId="7">
    <w:name w:val="active6"/>
    <w:basedOn w:val="3"/>
    <w:qFormat/>
    <w:uiPriority w:val="0"/>
    <w:rPr>
      <w:color w:val="00FF00"/>
      <w:shd w:val="clear" w:fill="000000"/>
    </w:rPr>
  </w:style>
  <w:style w:type="character" w:customStyle="1" w:styleId="8">
    <w:name w:val="hilite6"/>
    <w:basedOn w:val="3"/>
    <w:qFormat/>
    <w:uiPriority w:val="0"/>
    <w:rPr>
      <w:color w:val="FFFFFF"/>
      <w:shd w:val="clear" w:fill="666677"/>
    </w:rPr>
  </w:style>
  <w:style w:type="character" w:customStyle="1" w:styleId="9">
    <w:name w:val="character7"/>
    <w:basedOn w:val="3"/>
    <w:qFormat/>
    <w:uiPriority w:val="0"/>
    <w:rPr>
      <w:color w:val="333333"/>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2020-05-18T03:10:00Z</dcterms:created>
  <dc:creator>一江烟雨1401721866</dc:creator>
  <cp:lastModifiedBy>Administrator</cp:lastModifiedBy>
  <cp:lastPrinted>2022-03-15T08:18:00Z</cp:lastPrinted>
  <dcterms:modified xsi:type="dcterms:W3CDTF">2022-03-17T09:10:44Z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81F674290FA84B7ABCC3B7A1B862B62D</vt:lpwstr>
  </property>
</Properties>
</file>