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6"/>
          <w:szCs w:val="36"/>
        </w:rPr>
      </w:pPr>
    </w:p>
    <w:p>
      <w:pPr>
        <w:jc w:val="center"/>
        <w:rPr>
          <w:rFonts w:ascii="宋体" w:hAnsi="宋体" w:cs="宋体"/>
          <w:b/>
          <w:sz w:val="44"/>
          <w:szCs w:val="44"/>
        </w:rPr>
      </w:pPr>
      <w:r>
        <w:rPr>
          <w:rFonts w:hint="eastAsia" w:ascii="宋体" w:hAnsi="宋体" w:cs="宋体"/>
          <w:b/>
          <w:sz w:val="44"/>
          <w:szCs w:val="44"/>
        </w:rPr>
        <w:t>大同市财政局预算评审中心</w:t>
      </w:r>
    </w:p>
    <w:p>
      <w:pPr>
        <w:jc w:val="center"/>
        <w:rPr>
          <w:rFonts w:ascii="宋体" w:hAnsi="宋体" w:cs="宋体"/>
          <w:b/>
          <w:sz w:val="44"/>
          <w:szCs w:val="44"/>
        </w:rPr>
      </w:pPr>
      <w:r>
        <w:rPr>
          <w:rFonts w:hint="eastAsia" w:ascii="宋体" w:hAnsi="宋体" w:cs="宋体"/>
          <w:b/>
          <w:sz w:val="44"/>
          <w:szCs w:val="44"/>
        </w:rPr>
        <w:t>202</w:t>
      </w:r>
      <w:r>
        <w:rPr>
          <w:rFonts w:hint="eastAsia" w:ascii="宋体" w:hAnsi="宋体" w:cs="宋体"/>
          <w:b/>
          <w:sz w:val="44"/>
          <w:szCs w:val="44"/>
          <w:lang w:val="en-US" w:eastAsia="zh-CN"/>
        </w:rPr>
        <w:t>1</w:t>
      </w:r>
      <w:r>
        <w:rPr>
          <w:rFonts w:hint="eastAsia" w:ascii="宋体" w:hAnsi="宋体" w:cs="宋体"/>
          <w:b/>
          <w:sz w:val="44"/>
          <w:szCs w:val="44"/>
        </w:rPr>
        <w:t>年度部门决算情况公开说明</w:t>
      </w:r>
    </w:p>
    <w:p>
      <w:pPr>
        <w:jc w:val="center"/>
        <w:rPr>
          <w:rFonts w:ascii="仿宋" w:hAnsi="仿宋" w:eastAsia="仿宋" w:cs="仿宋"/>
          <w:b/>
          <w:sz w:val="32"/>
          <w:szCs w:val="32"/>
        </w:rPr>
      </w:pPr>
    </w:p>
    <w:p>
      <w:pPr>
        <w:ind w:firstLine="643" w:firstLineChars="200"/>
        <w:rPr>
          <w:rFonts w:ascii="黑体" w:hAnsi="黑体" w:eastAsia="黑体" w:cs="黑体"/>
          <w:b/>
          <w:bCs/>
          <w:sz w:val="32"/>
          <w:szCs w:val="32"/>
        </w:rPr>
      </w:pPr>
      <w:r>
        <w:rPr>
          <w:rFonts w:hint="eastAsia" w:ascii="黑体" w:hAnsi="黑体" w:eastAsia="黑体" w:cs="黑体"/>
          <w:b/>
          <w:bCs/>
          <w:sz w:val="32"/>
          <w:szCs w:val="32"/>
        </w:rPr>
        <w:t>第一部分  概况</w:t>
      </w:r>
    </w:p>
    <w:p>
      <w:pPr>
        <w:ind w:firstLine="643" w:firstLineChars="200"/>
        <w:rPr>
          <w:rFonts w:ascii="仿宋" w:hAnsi="仿宋" w:eastAsia="仿宋" w:cs="仿宋"/>
          <w:b/>
          <w:sz w:val="32"/>
          <w:szCs w:val="32"/>
        </w:rPr>
      </w:pPr>
      <w:r>
        <w:rPr>
          <w:rFonts w:hint="eastAsia" w:ascii="仿宋" w:hAnsi="仿宋" w:eastAsia="仿宋" w:cs="仿宋"/>
          <w:b/>
          <w:sz w:val="32"/>
          <w:szCs w:val="32"/>
        </w:rPr>
        <w:t>一、单位主要职责</w:t>
      </w:r>
    </w:p>
    <w:p>
      <w:pPr>
        <w:ind w:firstLine="640" w:firstLineChars="200"/>
        <w:rPr>
          <w:rFonts w:ascii="仿宋" w:hAnsi="仿宋" w:eastAsia="仿宋"/>
          <w:sz w:val="32"/>
          <w:szCs w:val="32"/>
        </w:rPr>
      </w:pPr>
      <w:r>
        <w:rPr>
          <w:rFonts w:hint="eastAsia" w:ascii="仿宋" w:hAnsi="仿宋" w:eastAsia="仿宋" w:cs="仿宋"/>
          <w:sz w:val="32"/>
          <w:szCs w:val="32"/>
        </w:rPr>
        <w:t>我中心的主要职责是：承担市级部门预算</w:t>
      </w:r>
      <w:r>
        <w:rPr>
          <w:rFonts w:hint="eastAsia" w:ascii="仿宋" w:hAnsi="仿宋" w:eastAsia="仿宋" w:cs="仿宋"/>
          <w:sz w:val="32"/>
          <w:szCs w:val="32"/>
          <w:lang w:eastAsia="zh-CN"/>
        </w:rPr>
        <w:t>、</w:t>
      </w:r>
      <w:r>
        <w:rPr>
          <w:rFonts w:hint="eastAsia" w:ascii="仿宋" w:hAnsi="仿宋" w:eastAsia="仿宋" w:cs="仿宋"/>
          <w:sz w:val="32"/>
          <w:szCs w:val="32"/>
        </w:rPr>
        <w:t>财政投资项目</w:t>
      </w:r>
      <w:r>
        <w:rPr>
          <w:rFonts w:hint="eastAsia" w:ascii="仿宋" w:hAnsi="仿宋" w:eastAsia="仿宋" w:cs="仿宋"/>
          <w:sz w:val="32"/>
          <w:szCs w:val="32"/>
          <w:lang w:val="en-US" w:eastAsia="zh-CN"/>
        </w:rPr>
        <w:t>预算</w:t>
      </w:r>
      <w:r>
        <w:rPr>
          <w:rFonts w:hint="eastAsia" w:ascii="仿宋" w:hAnsi="仿宋" w:eastAsia="仿宋" w:cs="仿宋"/>
          <w:sz w:val="32"/>
          <w:szCs w:val="32"/>
        </w:rPr>
        <w:t>评审工作；</w:t>
      </w:r>
      <w:r>
        <w:rPr>
          <w:rFonts w:hint="eastAsia" w:ascii="仿宋" w:hAnsi="仿宋" w:eastAsia="仿宋"/>
          <w:sz w:val="32"/>
          <w:szCs w:val="32"/>
        </w:rPr>
        <w:t>受市财政局委托完成财政投资工程结(决)算评审工作</w:t>
      </w:r>
      <w:r>
        <w:rPr>
          <w:rFonts w:hint="eastAsia" w:ascii="仿宋" w:hAnsi="仿宋" w:eastAsia="仿宋"/>
          <w:sz w:val="32"/>
          <w:szCs w:val="32"/>
          <w:lang w:eastAsia="zh-CN"/>
        </w:rPr>
        <w:t>；</w:t>
      </w:r>
      <w:r>
        <w:rPr>
          <w:rFonts w:hint="eastAsia" w:ascii="仿宋" w:hAnsi="仿宋" w:eastAsia="仿宋"/>
          <w:sz w:val="32"/>
          <w:szCs w:val="32"/>
        </w:rPr>
        <w:t>配合完善预算项目支出标准体系</w:t>
      </w:r>
      <w:r>
        <w:rPr>
          <w:rFonts w:hint="eastAsia" w:ascii="仿宋" w:hAnsi="仿宋" w:eastAsia="仿宋"/>
          <w:sz w:val="32"/>
          <w:szCs w:val="32"/>
          <w:lang w:val="en-US" w:eastAsia="zh-CN"/>
        </w:rPr>
        <w:t>及其</w:t>
      </w:r>
      <w:r>
        <w:rPr>
          <w:rFonts w:hint="eastAsia" w:ascii="仿宋" w:hAnsi="仿宋" w:eastAsia="仿宋" w:cs="仿宋"/>
          <w:sz w:val="32"/>
          <w:szCs w:val="32"/>
        </w:rPr>
        <w:t>评审工作，配合开展部门预算绩效评价工作。</w:t>
      </w:r>
    </w:p>
    <w:p>
      <w:pPr>
        <w:ind w:firstLine="643" w:firstLineChars="200"/>
        <w:rPr>
          <w:rFonts w:ascii="仿宋" w:hAnsi="仿宋" w:eastAsia="仿宋" w:cs="仿宋"/>
          <w:b/>
          <w:sz w:val="32"/>
          <w:szCs w:val="32"/>
        </w:rPr>
      </w:pPr>
      <w:r>
        <w:rPr>
          <w:rFonts w:hint="eastAsia" w:ascii="仿宋" w:hAnsi="仿宋" w:eastAsia="仿宋" w:cs="仿宋"/>
          <w:b/>
          <w:sz w:val="32"/>
          <w:szCs w:val="32"/>
        </w:rPr>
        <w:t>二、决算单位机构设置情况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我中心为财政拨款事业单位，隶属于大同市财政局，副处级建制。中心内设</w:t>
      </w:r>
      <w:r>
        <w:rPr>
          <w:rFonts w:hint="eastAsia" w:ascii="仿宋" w:hAnsi="仿宋" w:eastAsia="仿宋" w:cs="仿宋"/>
          <w:sz w:val="32"/>
          <w:szCs w:val="32"/>
          <w:lang w:val="en-US" w:eastAsia="zh-CN"/>
        </w:rPr>
        <w:t>6</w:t>
      </w:r>
      <w:r>
        <w:rPr>
          <w:rFonts w:hint="eastAsia" w:ascii="仿宋" w:hAnsi="仿宋" w:eastAsia="仿宋" w:cs="仿宋"/>
          <w:sz w:val="32"/>
          <w:szCs w:val="32"/>
        </w:rPr>
        <w:t>个科室，其具体职责如下：</w:t>
      </w:r>
    </w:p>
    <w:p>
      <w:pPr>
        <w:keepNext w:val="0"/>
        <w:keepLines w:val="0"/>
        <w:pageBreakBefore w:val="0"/>
        <w:widowControl w:val="0"/>
        <w:kinsoku/>
        <w:wordWrap/>
        <w:overflowPunct/>
        <w:topLinePunct w:val="0"/>
        <w:autoSpaceDE/>
        <w:autoSpaceDN/>
        <w:bidi w:val="0"/>
        <w:adjustRightInd/>
        <w:snapToGrid/>
        <w:spacing w:line="660" w:lineRule="exact"/>
        <w:ind w:firstLine="645"/>
        <w:textAlignment w:val="auto"/>
        <w:rPr>
          <w:rFonts w:hint="eastAsia" w:ascii="仿宋" w:hAnsi="仿宋" w:eastAsia="仿宋" w:cs="仿宋"/>
          <w:sz w:val="32"/>
          <w:szCs w:val="32"/>
          <w:lang w:eastAsia="zh-CN"/>
        </w:rPr>
      </w:pPr>
      <w:r>
        <w:rPr>
          <w:rFonts w:hint="eastAsia" w:ascii="仿宋" w:hAnsi="仿宋" w:eastAsia="仿宋" w:cs="Times New Roman"/>
          <w:sz w:val="32"/>
          <w:szCs w:val="32"/>
        </w:rPr>
        <w:t>办公室(党建办公室)。负责中心日常运转工作；负责会务、公文、档案和规章制度制定工作</w:t>
      </w:r>
      <w:r>
        <w:rPr>
          <w:rFonts w:hint="eastAsia" w:ascii="仿宋" w:hAnsi="仿宋" w:eastAsia="仿宋" w:cs="Times New Roman"/>
          <w:sz w:val="32"/>
          <w:szCs w:val="32"/>
          <w:lang w:eastAsia="zh-CN"/>
        </w:rPr>
        <w:t>；</w:t>
      </w:r>
      <w:r>
        <w:rPr>
          <w:rFonts w:hint="eastAsia" w:ascii="仿宋" w:hAnsi="仿宋" w:eastAsia="仿宋" w:cs="Times New Roman"/>
          <w:sz w:val="32"/>
          <w:szCs w:val="32"/>
        </w:rPr>
        <w:t>负责机构编制、人事劳资、社保、财务、固定资产、后勤保障和离退休人员管理服务工作；负责党建、党务和群团工作</w:t>
      </w:r>
      <w:r>
        <w:rPr>
          <w:rFonts w:hint="eastAsia" w:ascii="仿宋" w:hAnsi="仿宋" w:eastAsia="仿宋" w:cs="Times New Roman"/>
          <w:sz w:val="32"/>
          <w:szCs w:val="32"/>
          <w:lang w:eastAsia="zh-CN"/>
        </w:rPr>
        <w:t>；</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Times New Roman"/>
          <w:sz w:val="32"/>
          <w:szCs w:val="32"/>
        </w:rPr>
        <w:t>总工办</w:t>
      </w:r>
      <w:r>
        <w:rPr>
          <w:rFonts w:hint="eastAsia" w:ascii="仿宋" w:hAnsi="仿宋" w:eastAsia="仿宋" w:cs="Times New Roman"/>
          <w:sz w:val="32"/>
          <w:szCs w:val="32"/>
          <w:lang w:eastAsia="zh-CN"/>
        </w:rPr>
        <w:t>。</w:t>
      </w:r>
      <w:r>
        <w:rPr>
          <w:rFonts w:hint="eastAsia" w:ascii="仿宋" w:hAnsi="仿宋" w:eastAsia="仿宋" w:cs="Times New Roman"/>
          <w:sz w:val="32"/>
          <w:szCs w:val="32"/>
        </w:rPr>
        <w:t>负责建立健全中心质量管理体系和管理办法；制定项目评审计划</w:t>
      </w:r>
      <w:r>
        <w:rPr>
          <w:rFonts w:hint="eastAsia" w:ascii="仿宋" w:hAnsi="仿宋" w:eastAsia="仿宋" w:cs="Times New Roman"/>
          <w:sz w:val="32"/>
          <w:szCs w:val="32"/>
          <w:lang w:eastAsia="zh-CN"/>
        </w:rPr>
        <w:t>，</w:t>
      </w:r>
      <w:r>
        <w:rPr>
          <w:rFonts w:hint="eastAsia" w:ascii="仿宋" w:hAnsi="仿宋" w:eastAsia="仿宋" w:cs="Times New Roman"/>
          <w:sz w:val="32"/>
          <w:szCs w:val="32"/>
        </w:rPr>
        <w:t>对重大问题审核并提出处理意见；组织安排中心政策、法规、业务等培训学习工作；负责对评审资料的复核，对评审报告审核并出具稽核意见；负责政府性工程项目结算审核安排、组织、协调等相关工作</w:t>
      </w:r>
      <w:r>
        <w:rPr>
          <w:rFonts w:hint="eastAsia" w:ascii="仿宋" w:hAnsi="仿宋"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60" w:lineRule="exact"/>
        <w:ind w:firstLine="645"/>
        <w:textAlignment w:val="auto"/>
        <w:rPr>
          <w:rFonts w:ascii="仿宋" w:hAnsi="仿宋" w:eastAsia="仿宋" w:cs="仿宋"/>
          <w:sz w:val="32"/>
          <w:szCs w:val="32"/>
        </w:rPr>
      </w:pPr>
      <w:r>
        <w:rPr>
          <w:rFonts w:hint="eastAsia" w:ascii="仿宋" w:hAnsi="仿宋" w:eastAsia="仿宋" w:cs="Times New Roman"/>
          <w:sz w:val="32"/>
          <w:szCs w:val="32"/>
        </w:rPr>
        <w:t>评审一科。负责土建、安装工程项目的评审工作，并出具评审结论；做好政府性工程项目结算审核相关配合工作</w:t>
      </w:r>
      <w:r>
        <w:rPr>
          <w:rFonts w:hint="eastAsia" w:ascii="仿宋" w:hAnsi="仿宋" w:eastAsia="仿宋" w:cs="仿宋"/>
          <w:sz w:val="32"/>
          <w:szCs w:val="32"/>
        </w:rPr>
        <w:t>；</w:t>
      </w:r>
    </w:p>
    <w:p>
      <w:pPr>
        <w:spacing w:line="360" w:lineRule="auto"/>
        <w:ind w:firstLine="640" w:firstLineChars="200"/>
        <w:rPr>
          <w:rFonts w:ascii="仿宋" w:hAnsi="仿宋" w:eastAsia="仿宋" w:cs="仿宋"/>
          <w:sz w:val="32"/>
          <w:szCs w:val="32"/>
        </w:rPr>
      </w:pPr>
      <w:r>
        <w:rPr>
          <w:rFonts w:hint="eastAsia" w:ascii="仿宋" w:hAnsi="仿宋" w:eastAsia="仿宋" w:cs="Times New Roman"/>
          <w:sz w:val="32"/>
          <w:szCs w:val="32"/>
        </w:rPr>
        <w:t>评审二科。负责重点项目、市政项目及项目评审工作中材料价格的评审工作，并出具评审结论；负责信息化项目建设评审工作；负责本单位网络和信息系统的运行、安全、维护管理以及系统升级改造工作；做好政府性工程项目结算审核相关配合工作</w:t>
      </w:r>
      <w:r>
        <w:rPr>
          <w:rFonts w:hint="eastAsia" w:ascii="仿宋" w:hAnsi="仿宋" w:eastAsia="仿宋" w:cs="仿宋"/>
          <w:sz w:val="32"/>
          <w:szCs w:val="32"/>
        </w:rPr>
        <w:t>；</w:t>
      </w:r>
    </w:p>
    <w:p>
      <w:pPr>
        <w:spacing w:line="360" w:lineRule="auto"/>
        <w:ind w:firstLine="640" w:firstLineChars="200"/>
        <w:rPr>
          <w:rFonts w:ascii="仿宋" w:hAnsi="仿宋" w:eastAsia="仿宋" w:cs="仿宋"/>
          <w:sz w:val="32"/>
          <w:szCs w:val="32"/>
        </w:rPr>
      </w:pPr>
      <w:r>
        <w:rPr>
          <w:rFonts w:hint="eastAsia" w:ascii="仿宋" w:hAnsi="仿宋" w:eastAsia="仿宋" w:cs="Times New Roman"/>
          <w:sz w:val="32"/>
          <w:szCs w:val="32"/>
        </w:rPr>
        <w:t>评审三科。负责园林绿化、仿古项目、房屋征收补偿项目、房屋拆迁安置结算及土建、安装工程项目的评审工作，并出具评审结论；做好政府性工程项目结算审核相关配合工作</w:t>
      </w:r>
      <w:r>
        <w:rPr>
          <w:rFonts w:hint="eastAsia" w:ascii="仿宋" w:hAnsi="仿宋" w:eastAsia="仿宋" w:cs="仿宋"/>
          <w:sz w:val="32"/>
          <w:szCs w:val="32"/>
        </w:rPr>
        <w:t>；</w:t>
      </w:r>
    </w:p>
    <w:p>
      <w:pPr>
        <w:spacing w:line="360" w:lineRule="auto"/>
        <w:ind w:firstLine="640" w:firstLineChars="200"/>
        <w:rPr>
          <w:rFonts w:ascii="仿宋" w:hAnsi="仿宋" w:eastAsia="仿宋" w:cs="仿宋"/>
          <w:sz w:val="32"/>
          <w:szCs w:val="32"/>
        </w:rPr>
      </w:pPr>
      <w:r>
        <w:rPr>
          <w:rFonts w:hint="eastAsia" w:ascii="仿宋" w:hAnsi="仿宋" w:eastAsia="仿宋" w:cs="Times New Roman"/>
          <w:sz w:val="32"/>
          <w:szCs w:val="32"/>
        </w:rPr>
        <w:t>评审四科。负责二类费用及财务专项项目的评审工作，并出具评审结论；做好政府性工程项目决算审核相关配合工作</w:t>
      </w:r>
      <w:r>
        <w:rPr>
          <w:rFonts w:hint="eastAsia" w:ascii="仿宋" w:hAnsi="仿宋" w:eastAsia="仿宋" w:cs="仿宋"/>
          <w:sz w:val="32"/>
          <w:szCs w:val="32"/>
        </w:rPr>
        <w:t>。</w:t>
      </w:r>
    </w:p>
    <w:p>
      <w:pPr>
        <w:ind w:firstLine="643" w:firstLineChars="200"/>
        <w:rPr>
          <w:rFonts w:ascii="仿宋" w:hAnsi="仿宋" w:eastAsia="仿宋" w:cs="仿宋"/>
          <w:sz w:val="32"/>
          <w:szCs w:val="32"/>
        </w:rPr>
      </w:pPr>
      <w:r>
        <w:rPr>
          <w:rFonts w:hint="eastAsia" w:ascii="黑体" w:hAnsi="黑体" w:eastAsia="黑体" w:cs="黑体"/>
          <w:b/>
          <w:bCs/>
          <w:sz w:val="32"/>
          <w:szCs w:val="32"/>
        </w:rPr>
        <w:t>第二部分  202</w:t>
      </w:r>
      <w:r>
        <w:rPr>
          <w:rFonts w:hint="eastAsia" w:ascii="黑体" w:hAnsi="黑体" w:eastAsia="黑体" w:cs="黑体"/>
          <w:b/>
          <w:bCs/>
          <w:sz w:val="32"/>
          <w:szCs w:val="32"/>
          <w:lang w:val="en-US" w:eastAsia="zh-CN"/>
        </w:rPr>
        <w:t>1</w:t>
      </w:r>
      <w:r>
        <w:rPr>
          <w:rFonts w:hint="eastAsia" w:ascii="黑体" w:hAnsi="黑体" w:eastAsia="黑体" w:cs="黑体"/>
          <w:b/>
          <w:bCs/>
          <w:sz w:val="32"/>
          <w:szCs w:val="32"/>
        </w:rPr>
        <w:t>年度决算报表</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val="en-US" w:eastAsia="zh-CN"/>
        </w:rPr>
        <w:t>总表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收入决算表</w:t>
      </w:r>
    </w:p>
    <w:p>
      <w:pPr>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支出决算表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财政拨款收入支出决算</w:t>
      </w:r>
      <w:r>
        <w:rPr>
          <w:rFonts w:hint="eastAsia" w:ascii="仿宋" w:hAnsi="仿宋" w:eastAsia="仿宋" w:cs="仿宋"/>
          <w:sz w:val="32"/>
          <w:szCs w:val="32"/>
          <w:lang w:val="en-US" w:eastAsia="zh-CN"/>
        </w:rPr>
        <w:t>总</w:t>
      </w:r>
      <w:r>
        <w:rPr>
          <w:rFonts w:hint="eastAsia" w:ascii="仿宋" w:hAnsi="仿宋" w:eastAsia="仿宋" w:cs="仿宋"/>
          <w:sz w:val="32"/>
          <w:szCs w:val="32"/>
        </w:rPr>
        <w:t>表</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五、</w:t>
      </w:r>
      <w:r>
        <w:rPr>
          <w:rFonts w:hint="eastAsia" w:ascii="仿宋" w:hAnsi="仿宋" w:eastAsia="仿宋" w:cs="仿宋"/>
          <w:sz w:val="32"/>
          <w:szCs w:val="32"/>
        </w:rPr>
        <w:t>一般公共预算财政拨款支出决算表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六、</w:t>
      </w:r>
      <w:r>
        <w:rPr>
          <w:rFonts w:hint="eastAsia" w:ascii="仿宋" w:hAnsi="仿宋" w:eastAsia="仿宋" w:cs="仿宋"/>
          <w:sz w:val="32"/>
          <w:szCs w:val="32"/>
        </w:rPr>
        <w:t>一般公共预算财政拨款支出决算表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一般公共预算财政拨款“三公”经费支出决算表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八、</w:t>
      </w:r>
      <w:r>
        <w:rPr>
          <w:rFonts w:hint="eastAsia" w:ascii="仿宋" w:hAnsi="仿宋" w:eastAsia="仿宋" w:cs="仿宋"/>
          <w:sz w:val="32"/>
          <w:szCs w:val="32"/>
        </w:rPr>
        <w:t>政府性基金预算财政拨款收入支出决算表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九、</w:t>
      </w:r>
      <w:r>
        <w:rPr>
          <w:rFonts w:hint="eastAsia" w:ascii="仿宋" w:hAnsi="仿宋" w:eastAsia="仿宋" w:cs="仿宋"/>
          <w:sz w:val="32"/>
          <w:szCs w:val="32"/>
        </w:rPr>
        <w:t>国有资本经营预算财政拨款支出决算表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十、</w:t>
      </w:r>
      <w:r>
        <w:rPr>
          <w:rFonts w:hint="eastAsia" w:ascii="仿宋" w:hAnsi="仿宋" w:eastAsia="仿宋" w:cs="仿宋"/>
          <w:sz w:val="32"/>
          <w:szCs w:val="32"/>
        </w:rPr>
        <w:t>部门决算公开相关信息统计表</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 xml:space="preserve">第三部分 </w:t>
      </w:r>
      <w:r>
        <w:rPr>
          <w:rFonts w:hint="eastAsia" w:ascii="黑体" w:hAnsi="黑体" w:eastAsia="黑体" w:cs="黑体"/>
          <w:b/>
          <w:bCs/>
          <w:sz w:val="32"/>
          <w:szCs w:val="32"/>
          <w:lang w:val="en-US" w:eastAsia="zh-CN"/>
        </w:rPr>
        <w:t>2021年度</w:t>
      </w:r>
      <w:r>
        <w:rPr>
          <w:rFonts w:hint="eastAsia" w:ascii="黑体" w:hAnsi="黑体" w:eastAsia="黑体" w:cs="黑体"/>
          <w:b/>
          <w:bCs/>
          <w:sz w:val="32"/>
          <w:szCs w:val="32"/>
        </w:rPr>
        <w:t>部门</w:t>
      </w:r>
      <w:r>
        <w:rPr>
          <w:rFonts w:hint="eastAsia" w:ascii="黑体" w:hAnsi="黑体" w:eastAsia="黑体" w:cs="黑体"/>
          <w:b/>
          <w:bCs/>
          <w:sz w:val="32"/>
          <w:szCs w:val="32"/>
          <w:lang w:val="en-US" w:eastAsia="zh-CN"/>
        </w:rPr>
        <w:t>决算</w:t>
      </w:r>
      <w:r>
        <w:rPr>
          <w:rFonts w:hint="eastAsia" w:ascii="黑体" w:hAnsi="黑体" w:eastAsia="黑体" w:cs="黑体"/>
          <w:b/>
          <w:bCs/>
          <w:sz w:val="32"/>
          <w:szCs w:val="32"/>
        </w:rPr>
        <w:t>情况说明</w:t>
      </w:r>
    </w:p>
    <w:p>
      <w:pPr>
        <w:ind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rPr>
        <w:t>一、</w:t>
      </w:r>
      <w:r>
        <w:rPr>
          <w:rFonts w:hint="eastAsia" w:ascii="仿宋" w:hAnsi="仿宋" w:eastAsia="仿宋" w:cs="仿宋"/>
          <w:b/>
          <w:sz w:val="32"/>
          <w:szCs w:val="32"/>
          <w:lang w:val="en-US" w:eastAsia="zh-CN"/>
        </w:rPr>
        <w:t>收入支出决算总体情况说明</w:t>
      </w:r>
    </w:p>
    <w:p>
      <w:pPr>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度收入总计1516.35</w:t>
      </w:r>
      <w:r>
        <w:rPr>
          <w:rFonts w:hint="eastAsia" w:ascii="仿宋" w:hAnsi="仿宋" w:eastAsia="仿宋" w:cs="仿宋"/>
          <w:sz w:val="32"/>
          <w:szCs w:val="32"/>
        </w:rPr>
        <w:t>万元，</w:t>
      </w:r>
      <w:r>
        <w:rPr>
          <w:rFonts w:hint="eastAsia" w:ascii="仿宋" w:hAnsi="仿宋" w:eastAsia="仿宋" w:cs="仿宋"/>
          <w:sz w:val="32"/>
          <w:szCs w:val="32"/>
          <w:lang w:val="en-US" w:eastAsia="zh-CN"/>
        </w:rPr>
        <w:t>支出总计1516.35万元。与上年相比收入总计减少418.81</w:t>
      </w:r>
      <w:r>
        <w:rPr>
          <w:rFonts w:hint="eastAsia" w:ascii="仿宋" w:hAnsi="仿宋" w:eastAsia="仿宋" w:cs="仿宋"/>
          <w:sz w:val="32"/>
          <w:szCs w:val="32"/>
        </w:rPr>
        <w:t>万元，</w:t>
      </w:r>
      <w:r>
        <w:rPr>
          <w:rFonts w:hint="eastAsia" w:ascii="仿宋" w:hAnsi="仿宋" w:eastAsia="仿宋" w:cs="仿宋"/>
          <w:sz w:val="32"/>
          <w:szCs w:val="32"/>
          <w:lang w:val="en-US" w:eastAsia="zh-CN"/>
        </w:rPr>
        <w:t>下降21.64%，支出总计减少418.81万元，下降21.64%。主要原因是</w:t>
      </w:r>
      <w:r>
        <w:rPr>
          <w:rFonts w:hint="eastAsia" w:ascii="仿宋" w:hAnsi="仿宋" w:eastAsia="仿宋" w:cs="仿宋"/>
          <w:sz w:val="32"/>
          <w:szCs w:val="32"/>
        </w:rPr>
        <w:t>项目运转经费</w:t>
      </w:r>
      <w:r>
        <w:rPr>
          <w:rFonts w:hint="eastAsia" w:ascii="仿宋" w:hAnsi="仿宋" w:eastAsia="仿宋" w:cs="仿宋"/>
          <w:sz w:val="32"/>
          <w:szCs w:val="32"/>
          <w:lang w:val="en-US" w:eastAsia="zh-CN"/>
        </w:rPr>
        <w:t>支出减少</w:t>
      </w:r>
      <w:r>
        <w:rPr>
          <w:rFonts w:hint="eastAsia" w:ascii="仿宋" w:hAnsi="仿宋" w:eastAsia="仿宋" w:cs="仿宋"/>
          <w:sz w:val="32"/>
          <w:szCs w:val="32"/>
        </w:rPr>
        <w:t>。</w:t>
      </w:r>
    </w:p>
    <w:p>
      <w:pPr>
        <w:ind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二、收入决算情况说明</w:t>
      </w:r>
    </w:p>
    <w:p>
      <w:pPr>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2021年度收入合计1516.35万元，均为财政拨款收入。</w:t>
      </w:r>
    </w:p>
    <w:p>
      <w:pPr>
        <w:numPr>
          <w:ilvl w:val="0"/>
          <w:numId w:val="1"/>
        </w:numPr>
        <w:ind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支出决算情况说明</w:t>
      </w:r>
    </w:p>
    <w:p>
      <w:pPr>
        <w:numPr>
          <w:ilvl w:val="0"/>
          <w:numId w:val="0"/>
        </w:numPr>
        <w:ind w:firstLine="64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 年度支出合计1516.35万元，其中：基本支出307.54万元，占比20.28%；项目支出1208.81万元，占比79.72%。</w:t>
      </w:r>
    </w:p>
    <w:p>
      <w:pPr>
        <w:numPr>
          <w:ilvl w:val="0"/>
          <w:numId w:val="1"/>
        </w:numPr>
        <w:ind w:left="0" w:leftChars="0"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财政拨款收入支出决算总体情况说明</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2021年度财政拨款收入总计1516.35万元、支出总计1516.35万元，与上年相比，财政拨款收入总计减少418.81万元，下降21.64%，财政拨款支出总计减少418.81万元，下降21.64%。主要原因是项目运转经费支出减少。</w:t>
      </w:r>
    </w:p>
    <w:p>
      <w:pPr>
        <w:numPr>
          <w:ilvl w:val="0"/>
          <w:numId w:val="1"/>
        </w:numPr>
        <w:ind w:left="0" w:leftChars="0"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一般公共预算财政拨款支出决算情况说明</w:t>
      </w:r>
    </w:p>
    <w:p>
      <w:pPr>
        <w:numPr>
          <w:ilvl w:val="0"/>
          <w:numId w:val="2"/>
        </w:numPr>
        <w:ind w:left="630" w:leftChars="0" w:firstLine="0" w:firstLineChars="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财政拨款支出决算支出总体情况</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2021年度财政拨款支出1516.35万元，占本年支出合计的100%。与上年相比，财政拨款支出减少418.81万元，下降21.64%。主要原因是项目运转经费支出减少。</w:t>
      </w:r>
    </w:p>
    <w:p>
      <w:pPr>
        <w:numPr>
          <w:ilvl w:val="0"/>
          <w:numId w:val="2"/>
        </w:numPr>
        <w:ind w:left="630" w:leftChars="0" w:firstLine="0" w:firstLineChars="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财</w:t>
      </w:r>
      <w:r>
        <w:rPr>
          <w:rFonts w:hint="eastAsia" w:ascii="仿宋" w:hAnsi="仿宋" w:eastAsia="仿宋" w:cs="仿宋"/>
          <w:b/>
          <w:sz w:val="32"/>
          <w:szCs w:val="32"/>
          <w:lang w:val="en-US" w:eastAsia="zh-CN"/>
        </w:rPr>
        <w:t>政拨款支出决算结构情况</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2021年度财政拨款支出1516.35万元，主要用于以下方面：一般公共服务（类）支出1444.31万元，占95.25%；社会保障和就业（类）支出35.69万元，占2.35%；卫生健康（类）支出12.15万元，占0.8%；住房保障（类）支出24.21万元，占1.6%。</w:t>
      </w:r>
    </w:p>
    <w:p>
      <w:pPr>
        <w:numPr>
          <w:ilvl w:val="0"/>
          <w:numId w:val="2"/>
        </w:numPr>
        <w:ind w:left="630" w:leftChars="0" w:firstLine="0" w:firstLineChars="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财政拨款支出决算具体情况</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2021年度财政拨款支出年初预算760.61万元，支出决算1516.35万元，完成年初预算的199.36%。其中一般公共服务支出年初预算694.47万元，支出决算1444.31万元，完成年初预算的207.97%；社会保障和就业支出年初预算29.88万元，支出决算35.69万元，完成年初预算的119.44%；卫生健康支出年初预算12.15万元，支出决算12.15万元，完成年初预算的100%；住房保障支出24.12万元，支出决算24.21万元，完成年初预算的100.37%。  </w:t>
      </w:r>
    </w:p>
    <w:p>
      <w:pPr>
        <w:numPr>
          <w:ilvl w:val="0"/>
          <w:numId w:val="1"/>
        </w:numPr>
        <w:ind w:left="0" w:leftChars="0"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一般公共预算财政拨款基本支出决算情况说明</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基本支出307.55万元，其中：人员经费291.48万元，主要包括工资福利支出283.65万元，对个人和家庭补助支出7.83万元；公用经费16.07万元，主要包括办公费4.67万元，工会经费1.76万元，福利费6.03万元、公务用车运行维护费3.2万元。</w:t>
      </w:r>
    </w:p>
    <w:p>
      <w:pPr>
        <w:numPr>
          <w:ilvl w:val="0"/>
          <w:numId w:val="1"/>
        </w:numPr>
        <w:ind w:left="0" w:leftChars="0" w:firstLine="643" w:firstLineChars="200"/>
        <w:rPr>
          <w:rFonts w:hint="default" w:ascii="仿宋" w:hAnsi="仿宋" w:eastAsia="仿宋" w:cs="仿宋"/>
          <w:b/>
          <w:sz w:val="32"/>
          <w:szCs w:val="32"/>
          <w:lang w:val="en-US"/>
        </w:rPr>
      </w:pPr>
      <w:r>
        <w:rPr>
          <w:rFonts w:hint="eastAsia" w:ascii="仿宋" w:hAnsi="仿宋" w:eastAsia="仿宋" w:cs="仿宋"/>
          <w:b/>
          <w:sz w:val="32"/>
          <w:szCs w:val="32"/>
          <w:lang w:val="en-US" w:eastAsia="zh-CN"/>
        </w:rPr>
        <w:t>一般公共预算财政拨款</w:t>
      </w:r>
      <w:r>
        <w:rPr>
          <w:rFonts w:hint="eastAsia" w:ascii="仿宋" w:hAnsi="仿宋" w:eastAsia="仿宋" w:cs="仿宋"/>
          <w:b/>
          <w:sz w:val="32"/>
          <w:szCs w:val="32"/>
        </w:rPr>
        <w:t>“三公”经费</w:t>
      </w:r>
      <w:r>
        <w:rPr>
          <w:rFonts w:hint="eastAsia" w:ascii="仿宋" w:hAnsi="仿宋" w:eastAsia="仿宋" w:cs="仿宋"/>
          <w:b/>
          <w:sz w:val="32"/>
          <w:szCs w:val="32"/>
          <w:lang w:val="en-US" w:eastAsia="zh-CN"/>
        </w:rPr>
        <w:t>支出决算情况说明</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三公</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经费财政拨款支出决算总体情况说明。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度</w:t>
      </w:r>
      <w:r>
        <w:rPr>
          <w:rFonts w:hint="eastAsia" w:ascii="仿宋" w:hAnsi="仿宋" w:eastAsia="仿宋" w:cs="仿宋"/>
          <w:sz w:val="32"/>
          <w:szCs w:val="32"/>
        </w:rPr>
        <w:t>“三公”经费</w:t>
      </w:r>
      <w:r>
        <w:rPr>
          <w:rFonts w:hint="eastAsia" w:ascii="仿宋" w:hAnsi="仿宋" w:eastAsia="仿宋" w:cs="仿宋"/>
          <w:sz w:val="32"/>
          <w:szCs w:val="32"/>
          <w:lang w:val="en-US" w:eastAsia="zh-CN"/>
        </w:rPr>
        <w:t>财政拨款支出预算4.7万元，支出决算</w:t>
      </w:r>
      <w:r>
        <w:rPr>
          <w:rFonts w:hint="eastAsia" w:ascii="仿宋" w:hAnsi="仿宋" w:eastAsia="仿宋" w:cs="仿宋"/>
          <w:sz w:val="32"/>
          <w:szCs w:val="32"/>
        </w:rPr>
        <w:t>4.5</w:t>
      </w:r>
      <w:r>
        <w:rPr>
          <w:rFonts w:hint="eastAsia" w:ascii="仿宋" w:hAnsi="仿宋" w:eastAsia="仿宋" w:cs="仿宋"/>
          <w:sz w:val="32"/>
          <w:szCs w:val="32"/>
          <w:lang w:val="en-US" w:eastAsia="zh-CN"/>
        </w:rPr>
        <w:t>4</w:t>
      </w:r>
      <w:r>
        <w:rPr>
          <w:rFonts w:hint="eastAsia" w:ascii="仿宋" w:hAnsi="仿宋" w:eastAsia="仿宋" w:cs="仿宋"/>
          <w:sz w:val="32"/>
          <w:szCs w:val="32"/>
        </w:rPr>
        <w:t>万元，</w:t>
      </w:r>
      <w:r>
        <w:rPr>
          <w:rFonts w:hint="eastAsia" w:ascii="仿宋" w:hAnsi="仿宋" w:eastAsia="仿宋" w:cs="仿宋"/>
          <w:sz w:val="32"/>
          <w:szCs w:val="32"/>
          <w:lang w:val="en-US" w:eastAsia="zh-CN"/>
        </w:rPr>
        <w:t>完成预算的72%</w:t>
      </w:r>
      <w:r>
        <w:rPr>
          <w:rFonts w:hint="eastAsia" w:ascii="仿宋" w:hAnsi="仿宋" w:eastAsia="仿宋" w:cs="仿宋"/>
          <w:sz w:val="32"/>
          <w:szCs w:val="32"/>
        </w:rPr>
        <w:t>，</w:t>
      </w:r>
      <w:r>
        <w:rPr>
          <w:rFonts w:hint="eastAsia" w:ascii="仿宋" w:hAnsi="仿宋" w:eastAsia="仿宋" w:cs="仿宋"/>
          <w:sz w:val="32"/>
          <w:szCs w:val="32"/>
          <w:lang w:val="en-US" w:eastAsia="zh-CN"/>
        </w:rPr>
        <w:t>与2020年持平</w:t>
      </w:r>
      <w:r>
        <w:rPr>
          <w:rFonts w:hint="eastAsia" w:ascii="仿宋" w:hAnsi="仿宋" w:eastAsia="仿宋" w:cs="仿宋"/>
          <w:sz w:val="32"/>
          <w:szCs w:val="32"/>
        </w:rPr>
        <w:t>。</w:t>
      </w:r>
    </w:p>
    <w:p>
      <w:pPr>
        <w:numPr>
          <w:ilvl w:val="0"/>
          <w:numId w:val="3"/>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三公</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经费财政拨款支出决算具体情况说明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度“三公”经费财政拨款支出均为公务用车运行维护费用，与2020年持平。2021年中心</w:t>
      </w:r>
      <w:r>
        <w:rPr>
          <w:rFonts w:hint="eastAsia" w:ascii="仿宋" w:hAnsi="仿宋" w:eastAsia="仿宋" w:cs="仿宋"/>
          <w:sz w:val="32"/>
          <w:szCs w:val="32"/>
        </w:rPr>
        <w:t>一般公务用车编制2辆，实有2辆。</w:t>
      </w:r>
    </w:p>
    <w:p>
      <w:pPr>
        <w:numPr>
          <w:ilvl w:val="0"/>
          <w:numId w:val="1"/>
        </w:numPr>
        <w:ind w:left="0" w:leftChars="0"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其他重要事项情况说明</w:t>
      </w:r>
    </w:p>
    <w:p>
      <w:pPr>
        <w:numPr>
          <w:ilvl w:val="0"/>
          <w:numId w:val="4"/>
        </w:numPr>
        <w:ind w:firstLine="643" w:firstLineChars="20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政府采购情况说明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度政府采购支出总额4.13万元，为政府采购货物支出。</w:t>
      </w:r>
    </w:p>
    <w:p>
      <w:pPr>
        <w:numPr>
          <w:ilvl w:val="0"/>
          <w:numId w:val="4"/>
        </w:numPr>
        <w:ind w:left="0" w:leftChars="0" w:firstLine="643" w:firstLineChars="200"/>
        <w:rPr>
          <w:rFonts w:hint="eastAsia" w:ascii="仿宋" w:hAnsi="仿宋" w:eastAsia="仿宋" w:cs="仿宋"/>
          <w:b/>
          <w:sz w:val="32"/>
          <w:szCs w:val="32"/>
        </w:rPr>
      </w:pPr>
      <w:r>
        <w:rPr>
          <w:rFonts w:hint="eastAsia" w:ascii="仿宋" w:hAnsi="仿宋" w:eastAsia="仿宋" w:cs="仿宋"/>
          <w:b/>
          <w:sz w:val="32"/>
          <w:szCs w:val="32"/>
        </w:rPr>
        <w:t>国有资产占有使用情况</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截至2021年12月31日，本单位共有车辆2辆，为一般公务用车。</w:t>
      </w:r>
    </w:p>
    <w:p>
      <w:pPr>
        <w:ind w:firstLine="643" w:firstLineChars="200"/>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三</w:t>
      </w: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预算</w:t>
      </w:r>
      <w:r>
        <w:rPr>
          <w:rFonts w:hint="eastAsia" w:ascii="仿宋" w:hAnsi="仿宋" w:eastAsia="仿宋" w:cs="仿宋"/>
          <w:b/>
          <w:sz w:val="32"/>
          <w:szCs w:val="32"/>
        </w:rPr>
        <w:t>绩效情况说明</w:t>
      </w:r>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1</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预算绩效管理工作开展情况。</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根据预算绩效管理要求，我单位组织对2021年度市级财政预算安排的专项资金类8个项目支出全面开展绩效自评，涉及预算资金1348.01万元，占一般公共预算项目支出总额的88.89%。</w:t>
      </w:r>
    </w:p>
    <w:p>
      <w:pPr>
        <w:numPr>
          <w:ilvl w:val="0"/>
          <w:numId w:val="5"/>
        </w:num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部门决算中项目绩效自评结果。</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办公设备购置项目绩效自评综述：根据年初设定的绩效目标，项目自评得分为98分。全年预算数为5万元，执行数为4.13万元，完成预算的82.6%。项目绩效目标完成情况：一是全年购买办公设备3台；二是设备单价小于3万元，且全面投入使用，提高工作效率。</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第四部分  名词解释</w:t>
      </w:r>
    </w:p>
    <w:p>
      <w:pPr>
        <w:ind w:firstLine="640" w:firstLineChars="200"/>
        <w:rPr>
          <w:rFonts w:ascii="仿宋" w:hAnsi="仿宋" w:eastAsia="仿宋" w:cs="仿宋"/>
          <w:sz w:val="32"/>
          <w:szCs w:val="32"/>
        </w:rPr>
      </w:pPr>
      <w:r>
        <w:rPr>
          <w:rFonts w:hint="eastAsia" w:ascii="仿宋" w:hAnsi="仿宋" w:eastAsia="仿宋" w:cs="仿宋"/>
          <w:sz w:val="32"/>
          <w:szCs w:val="32"/>
        </w:rPr>
        <w:t>（一）公共预算财政拨款收入：指政府凭借国家政治权力，以社会管理者身份筹集以税收为主体的财政收入，用于保障和改善民生、维持国家行政职能正常行使、保障国家安全等方面的收支预算。</w:t>
      </w:r>
    </w:p>
    <w:p>
      <w:pPr>
        <w:ind w:firstLine="640" w:firstLineChars="200"/>
        <w:rPr>
          <w:rFonts w:ascii="仿宋" w:hAnsi="仿宋" w:eastAsia="仿宋" w:cs="仿宋"/>
          <w:sz w:val="32"/>
          <w:szCs w:val="32"/>
        </w:rPr>
      </w:pPr>
      <w:r>
        <w:rPr>
          <w:rFonts w:hint="eastAsia" w:ascii="仿宋" w:hAnsi="仿宋" w:eastAsia="仿宋" w:cs="仿宋"/>
          <w:sz w:val="32"/>
          <w:szCs w:val="32"/>
        </w:rPr>
        <w:t>（二）基本支出：指为保障机构正常运转、完成日常工作任务而发生的人员支出和公用支出。</w:t>
      </w:r>
    </w:p>
    <w:p>
      <w:pPr>
        <w:ind w:firstLine="640" w:firstLineChars="200"/>
        <w:rPr>
          <w:rFonts w:ascii="仿宋" w:hAnsi="仿宋" w:eastAsia="仿宋" w:cs="仿宋"/>
          <w:sz w:val="32"/>
          <w:szCs w:val="32"/>
        </w:rPr>
      </w:pPr>
      <w:r>
        <w:rPr>
          <w:rFonts w:hint="eastAsia" w:ascii="仿宋" w:hAnsi="仿宋" w:eastAsia="仿宋" w:cs="仿宋"/>
          <w:sz w:val="32"/>
          <w:szCs w:val="32"/>
        </w:rPr>
        <w:t>（三）项目支出：指在基本支出之外为完成特定行政任务和事业发展目标所发生的支出。</w:t>
      </w:r>
    </w:p>
    <w:p>
      <w:pPr>
        <w:ind w:firstLine="640" w:firstLineChars="200"/>
        <w:rPr>
          <w:rFonts w:ascii="仿宋" w:hAnsi="仿宋" w:eastAsia="仿宋" w:cs="仿宋"/>
          <w:sz w:val="32"/>
          <w:szCs w:val="32"/>
        </w:rPr>
      </w:pPr>
      <w:r>
        <w:rPr>
          <w:rFonts w:hint="eastAsia" w:ascii="仿宋" w:hAnsi="仿宋" w:eastAsia="仿宋" w:cs="仿宋"/>
          <w:sz w:val="32"/>
          <w:szCs w:val="32"/>
        </w:rPr>
        <w:t>（四）政府性基金收入：指市本级基金收入主要项目包括国有土地使用权出让收入、政府住房基金收入、散装水泥专项资金收入、新型墙体材料发展专项基金收入和其他基金收入。</w:t>
      </w:r>
    </w:p>
    <w:p>
      <w:pPr>
        <w:ind w:firstLine="640" w:firstLineChars="200"/>
        <w:rPr>
          <w:rFonts w:ascii="仿宋" w:hAnsi="仿宋" w:eastAsia="仿宋" w:cs="仿宋"/>
          <w:sz w:val="32"/>
          <w:szCs w:val="32"/>
        </w:rPr>
      </w:pPr>
      <w:r>
        <w:rPr>
          <w:rFonts w:hint="eastAsia" w:ascii="仿宋" w:hAnsi="仿宋" w:eastAsia="仿宋" w:cs="仿宋"/>
          <w:sz w:val="32"/>
          <w:szCs w:val="32"/>
        </w:rPr>
        <w:t>（五）“三公”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等支出；公务接待费反映单位按规定开支的各类公务接待支出。</w:t>
      </w:r>
    </w:p>
    <w:p>
      <w:pPr>
        <w:ind w:firstLine="640" w:firstLineChars="200"/>
        <w:rPr>
          <w:rFonts w:ascii="仿宋" w:hAnsi="仿宋" w:eastAsia="仿宋" w:cs="仿宋"/>
          <w:sz w:val="32"/>
          <w:szCs w:val="32"/>
        </w:rPr>
      </w:pPr>
      <w:r>
        <w:rPr>
          <w:rFonts w:hint="eastAsia" w:ascii="仿宋" w:hAnsi="仿宋" w:eastAsia="仿宋" w:cs="仿宋"/>
          <w:sz w:val="32"/>
          <w:szCs w:val="32"/>
        </w:rPr>
        <w:t>（六）事业单位运行经费：指事业单位使用一般公共预算安排的基本支出中的日常公用经费支出。</w:t>
      </w:r>
    </w:p>
    <w:tbl>
      <w:tblPr>
        <w:tblStyle w:val="3"/>
        <w:tblpPr w:leftFromText="180" w:rightFromText="180" w:vertAnchor="text" w:horzAnchor="page" w:tblpX="1514" w:tblpY="300"/>
        <w:tblOverlap w:val="never"/>
        <w:tblW w:w="0" w:type="auto"/>
        <w:tblInd w:w="0" w:type="dxa"/>
        <w:tblLayout w:type="fixed"/>
        <w:tblCellMar>
          <w:top w:w="0" w:type="dxa"/>
          <w:left w:w="108" w:type="dxa"/>
          <w:bottom w:w="0" w:type="dxa"/>
          <w:right w:w="108" w:type="dxa"/>
        </w:tblCellMar>
      </w:tblPr>
      <w:tblGrid>
        <w:gridCol w:w="588"/>
        <w:gridCol w:w="980"/>
        <w:gridCol w:w="66"/>
        <w:gridCol w:w="1046"/>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529" w:hRule="exact"/>
        </w:trPr>
        <w:tc>
          <w:tcPr>
            <w:tcW w:w="9080" w:type="dxa"/>
            <w:gridSpan w:val="15"/>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trPr>
        <w:tc>
          <w:tcPr>
            <w:tcW w:w="9080" w:type="dxa"/>
            <w:gridSpan w:val="15"/>
            <w:tcBorders>
              <w:top w:val="nil"/>
              <w:left w:val="nil"/>
              <w:bottom w:val="nil"/>
              <w:right w:val="nil"/>
            </w:tcBorders>
            <w:noWrap w:val="0"/>
            <w:vAlign w:val="top"/>
          </w:tcPr>
          <w:p>
            <w:pPr>
              <w:widowControl/>
              <w:jc w:val="both"/>
              <w:rPr>
                <w:rFonts w:ascii="宋体" w:hAnsi="宋体" w:eastAsia="宋体" w:cs="宋体"/>
                <w:kern w:val="0"/>
                <w:sz w:val="22"/>
                <w:szCs w:val="22"/>
              </w:rPr>
            </w:pPr>
            <w:r>
              <w:rPr>
                <w:rFonts w:hint="eastAsia" w:ascii="宋体" w:hAnsi="宋体" w:eastAsia="宋体" w:cs="宋体"/>
                <w:kern w:val="0"/>
                <w:sz w:val="22"/>
                <w:szCs w:val="22"/>
              </w:rPr>
              <w:t>填列单位（公章）：</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 xml:space="preserve">（   </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 xml:space="preserve"> 年度）</w:t>
            </w:r>
          </w:p>
        </w:tc>
      </w:tr>
      <w:tr>
        <w:tblPrEx>
          <w:tblCellMar>
            <w:top w:w="0" w:type="dxa"/>
            <w:left w:w="108" w:type="dxa"/>
            <w:bottom w:w="0" w:type="dxa"/>
            <w:right w:w="108" w:type="dxa"/>
          </w:tblCellMar>
        </w:tblPrEx>
        <w:trPr>
          <w:trHeight w:val="32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办公设备购置</w:t>
            </w:r>
          </w:p>
        </w:tc>
      </w:tr>
      <w:tr>
        <w:tblPrEx>
          <w:tblCellMar>
            <w:top w:w="0" w:type="dxa"/>
            <w:left w:w="108" w:type="dxa"/>
            <w:bottom w:w="0" w:type="dxa"/>
            <w:right w:w="108" w:type="dxa"/>
          </w:tblCellMar>
        </w:tblPrEx>
        <w:trPr>
          <w:trHeight w:val="38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大同市财政局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eastAsia="宋体" w:cs="宋体"/>
                <w:kern w:val="0"/>
                <w:sz w:val="15"/>
                <w:szCs w:val="15"/>
                <w:lang w:eastAsia="zh-CN"/>
              </w:rPr>
              <w:t>大同市财政局预算评审中心</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按采购计划购置办公设备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根据工作实际需要购置办公设备</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设备购置</w:t>
            </w:r>
            <w:r>
              <w:rPr>
                <w:rFonts w:hint="eastAsia" w:ascii="宋体" w:hAnsi="宋体" w:eastAsia="宋体" w:cs="宋体"/>
                <w:color w:val="000000"/>
                <w:kern w:val="0"/>
                <w:sz w:val="18"/>
                <w:szCs w:val="18"/>
                <w:lang w:val="en-US" w:eastAsia="zh-CN"/>
              </w:rPr>
              <w:t>数量</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&lt;=10台</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0"/>
                <w:szCs w:val="10"/>
                <w:lang w:eastAsia="zh-CN"/>
              </w:rPr>
              <w:t>购置办公设备验收合格率</w:t>
            </w:r>
            <w:r>
              <w:rPr>
                <w:rFonts w:hint="eastAsia" w:ascii="宋体" w:hAnsi="宋体" w:eastAsia="宋体" w:cs="宋体"/>
                <w:color w:val="000000"/>
                <w:kern w:val="0"/>
                <w:sz w:val="11"/>
                <w:szCs w:val="11"/>
                <w:lang w:eastAsia="zh-CN"/>
              </w:rPr>
              <w:t>（</w:t>
            </w:r>
            <w:r>
              <w:rPr>
                <w:rFonts w:hint="eastAsia" w:ascii="宋体" w:hAnsi="宋体" w:eastAsia="宋体" w:cs="宋体"/>
                <w:color w:val="000000"/>
                <w:kern w:val="0"/>
                <w:sz w:val="11"/>
                <w:szCs w:val="11"/>
                <w:lang w:val="en-US" w:eastAsia="zh-CN"/>
              </w:rPr>
              <w:t>%</w:t>
            </w:r>
            <w:r>
              <w:rPr>
                <w:rFonts w:hint="eastAsia" w:ascii="宋体" w:hAnsi="宋体" w:eastAsia="宋体" w:cs="宋体"/>
                <w:color w:val="000000"/>
                <w:kern w:val="0"/>
                <w:sz w:val="11"/>
                <w:szCs w:val="11"/>
                <w:lang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设备购置及时性</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及时</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及时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设备购置单价</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&lt;=3</w:t>
            </w:r>
            <w:r>
              <w:rPr>
                <w:rFonts w:hint="eastAsia" w:ascii="宋体" w:hAnsi="宋体" w:eastAsia="宋体" w:cs="宋体"/>
                <w:kern w:val="0"/>
                <w:sz w:val="15"/>
                <w:szCs w:val="15"/>
                <w:lang w:val="en-US" w:eastAsia="zh-CN"/>
              </w:rPr>
              <w:t>万元</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5"/>
                <w:szCs w:val="15"/>
                <w:lang w:eastAsia="zh-CN"/>
              </w:rPr>
              <w:t>设备投入使用率</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促进工作开展</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促进</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促进</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7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使用者满意度（</w:t>
            </w: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lang w:eastAsia="zh-CN"/>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6529"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90" w:hRule="atLeast"/>
        </w:trPr>
        <w:tc>
          <w:tcPr>
            <w:tcW w:w="5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项目绩效分析</w:t>
            </w:r>
          </w:p>
        </w:tc>
        <w:tc>
          <w:tcPr>
            <w:tcW w:w="104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自评结果分析</w:t>
            </w: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项目实施和预算执行情况及分析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全年办公设备跟新购置费用</w:t>
            </w:r>
            <w:r>
              <w:rPr>
                <w:rFonts w:hint="eastAsia" w:ascii="宋体" w:hAnsi="宋体" w:eastAsia="宋体" w:cs="宋体"/>
                <w:kern w:val="0"/>
                <w:sz w:val="18"/>
                <w:szCs w:val="18"/>
                <w:lang w:val="en-US" w:eastAsia="zh-CN"/>
              </w:rPr>
              <w:t>5万元，实际支出4.13万元，执行率83%。</w:t>
            </w:r>
          </w:p>
        </w:tc>
      </w:tr>
      <w:tr>
        <w:tblPrEx>
          <w:tblCellMar>
            <w:top w:w="0" w:type="dxa"/>
            <w:left w:w="108" w:type="dxa"/>
            <w:bottom w:w="0" w:type="dxa"/>
            <w:right w:w="108" w:type="dxa"/>
          </w:tblCellMar>
        </w:tblPrEx>
        <w:trPr>
          <w:trHeight w:val="1045"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产出情况及分析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eastAsia="zh-CN"/>
              </w:rPr>
              <w:t>根据实际情况购买急需更新设备，及时更新办公设备，保证中心工作正常开展。</w:t>
            </w:r>
          </w:p>
        </w:tc>
      </w:tr>
      <w:tr>
        <w:tblPrEx>
          <w:tblCellMar>
            <w:top w:w="0" w:type="dxa"/>
            <w:left w:w="108" w:type="dxa"/>
            <w:bottom w:w="0" w:type="dxa"/>
            <w:right w:w="108" w:type="dxa"/>
          </w:tblCellMar>
        </w:tblPrEx>
        <w:trPr>
          <w:trHeight w:val="110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效益情况及分析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新设备全部投入使用，提高工作效率</w:t>
            </w:r>
          </w:p>
        </w:tc>
      </w:tr>
      <w:tr>
        <w:tblPrEx>
          <w:tblCellMar>
            <w:top w:w="0" w:type="dxa"/>
            <w:left w:w="108" w:type="dxa"/>
            <w:bottom w:w="0" w:type="dxa"/>
            <w:right w:w="108" w:type="dxa"/>
          </w:tblCellMar>
        </w:tblPrEx>
        <w:trPr>
          <w:trHeight w:val="89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满意度情况及分析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eastAsia="zh-CN"/>
              </w:rPr>
              <w:t>相关使用者满意度</w:t>
            </w:r>
            <w:r>
              <w:rPr>
                <w:rFonts w:hint="eastAsia" w:ascii="宋体" w:hAnsi="宋体" w:eastAsia="宋体" w:cs="宋体"/>
                <w:color w:val="000000"/>
                <w:kern w:val="0"/>
                <w:sz w:val="18"/>
                <w:szCs w:val="18"/>
                <w:lang w:val="en-US" w:eastAsia="zh-CN"/>
              </w:rPr>
              <w:t>100%</w:t>
            </w:r>
          </w:p>
        </w:tc>
      </w:tr>
      <w:tr>
        <w:tblPrEx>
          <w:tblCellMar>
            <w:top w:w="0" w:type="dxa"/>
            <w:left w:w="108" w:type="dxa"/>
            <w:bottom w:w="0" w:type="dxa"/>
            <w:right w:w="108" w:type="dxa"/>
          </w:tblCellMar>
        </w:tblPrEx>
        <w:trPr>
          <w:trHeight w:val="224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主要经验做法</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按需购买，及时更新</w:t>
            </w:r>
          </w:p>
        </w:tc>
      </w:tr>
      <w:tr>
        <w:tblPrEx>
          <w:tblCellMar>
            <w:top w:w="0" w:type="dxa"/>
            <w:left w:w="108" w:type="dxa"/>
            <w:bottom w:w="0" w:type="dxa"/>
            <w:right w:w="108" w:type="dxa"/>
          </w:tblCellMar>
        </w:tblPrEx>
        <w:trPr>
          <w:trHeight w:val="490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项目管理中存在的</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主要问题及原因分析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202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下一步改进措施及</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管理建议</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bl>
    <w:p>
      <w:pPr>
        <w:ind w:firstLine="1600" w:firstLineChars="500"/>
        <w:jc w:val="left"/>
        <w:rPr>
          <w:rFonts w:ascii="仿宋" w:hAnsi="仿宋" w:eastAsia="仿宋" w:cs="仿宋"/>
          <w:sz w:val="32"/>
          <w:szCs w:val="32"/>
        </w:rPr>
      </w:pPr>
      <w:bookmarkStart w:id="0" w:name="_GoBack"/>
      <w:bookmarkEnd w:id="0"/>
    </w:p>
    <w:p>
      <w:pPr>
        <w:ind w:firstLine="1600" w:firstLineChars="500"/>
        <w:jc w:val="left"/>
        <w:rPr>
          <w:rFonts w:ascii="仿宋" w:hAnsi="仿宋" w:eastAsia="仿宋" w:cs="仿宋"/>
          <w:sz w:val="32"/>
          <w:szCs w:val="32"/>
        </w:rPr>
      </w:pPr>
    </w:p>
    <w:p>
      <w:pPr>
        <w:ind w:firstLine="1600" w:firstLineChars="500"/>
        <w:jc w:val="left"/>
        <w:rPr>
          <w:rFonts w:hint="eastAsia" w:ascii="仿宋" w:hAnsi="仿宋" w:eastAsia="仿宋" w:cs="仿宋"/>
          <w:sz w:val="32"/>
          <w:szCs w:val="32"/>
        </w:rPr>
      </w:pPr>
      <w:r>
        <w:rPr>
          <w:rFonts w:hint="eastAsia" w:ascii="仿宋" w:hAnsi="仿宋" w:eastAsia="仿宋" w:cs="仿宋"/>
          <w:sz w:val="32"/>
          <w:szCs w:val="32"/>
        </w:rPr>
        <w:t xml:space="preserve">                </w:t>
      </w:r>
    </w:p>
    <w:p>
      <w:pPr>
        <w:ind w:firstLine="1600" w:firstLineChars="500"/>
        <w:jc w:val="left"/>
        <w:rPr>
          <w:sz w:val="32"/>
          <w:szCs w:val="32"/>
        </w:rPr>
      </w:pPr>
    </w:p>
    <w:p>
      <w:pPr>
        <w:tabs>
          <w:tab w:val="left" w:pos="4805"/>
        </w:tabs>
        <w:jc w:val="left"/>
        <w:rPr>
          <w:sz w:val="32"/>
          <w:szCs w:val="32"/>
        </w:rPr>
      </w:pPr>
    </w:p>
    <w:sectPr>
      <w:type w:val="continuous"/>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B60EEE9D-C5AB-4005-BF97-C460FA25E702}"/>
  </w:font>
  <w:font w:name="华文中宋">
    <w:panose1 w:val="02010600040101010101"/>
    <w:charset w:val="86"/>
    <w:family w:val="auto"/>
    <w:pitch w:val="default"/>
    <w:sig w:usb0="00000287" w:usb1="080F0000" w:usb2="00000000" w:usb3="00000000" w:csb0="0004009F" w:csb1="DFD70000"/>
    <w:embedRegular r:id="rId2" w:fontKey="{7189279C-8D2A-44D5-82EE-39B87BE478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010F0"/>
    <w:multiLevelType w:val="singleLevel"/>
    <w:tmpl w:val="A2D010F0"/>
    <w:lvl w:ilvl="0" w:tentative="0">
      <w:start w:val="2"/>
      <w:numFmt w:val="chineseCounting"/>
      <w:suff w:val="nothing"/>
      <w:lvlText w:val="（%1）"/>
      <w:lvlJc w:val="left"/>
      <w:rPr>
        <w:rFonts w:hint="eastAsia"/>
      </w:rPr>
    </w:lvl>
  </w:abstractNum>
  <w:abstractNum w:abstractNumId="1">
    <w:nsid w:val="A7761C22"/>
    <w:multiLevelType w:val="singleLevel"/>
    <w:tmpl w:val="A7761C22"/>
    <w:lvl w:ilvl="0" w:tentative="0">
      <w:start w:val="3"/>
      <w:numFmt w:val="chineseCounting"/>
      <w:suff w:val="nothing"/>
      <w:lvlText w:val="%1、"/>
      <w:lvlJc w:val="left"/>
      <w:rPr>
        <w:rFonts w:hint="eastAsia"/>
      </w:rPr>
    </w:lvl>
  </w:abstractNum>
  <w:abstractNum w:abstractNumId="2">
    <w:nsid w:val="D27F7801"/>
    <w:multiLevelType w:val="singleLevel"/>
    <w:tmpl w:val="D27F7801"/>
    <w:lvl w:ilvl="0" w:tentative="0">
      <w:start w:val="2"/>
      <w:numFmt w:val="decimal"/>
      <w:suff w:val="nothing"/>
      <w:lvlText w:val="（%1）"/>
      <w:lvlJc w:val="left"/>
    </w:lvl>
  </w:abstractNum>
  <w:abstractNum w:abstractNumId="3">
    <w:nsid w:val="2A534C01"/>
    <w:multiLevelType w:val="singleLevel"/>
    <w:tmpl w:val="2A534C01"/>
    <w:lvl w:ilvl="0" w:tentative="0">
      <w:start w:val="1"/>
      <w:numFmt w:val="chineseCounting"/>
      <w:suff w:val="nothing"/>
      <w:lvlText w:val="（%1）"/>
      <w:lvlJc w:val="left"/>
      <w:rPr>
        <w:rFonts w:hint="eastAsia"/>
      </w:rPr>
    </w:lvl>
  </w:abstractNum>
  <w:abstractNum w:abstractNumId="4">
    <w:nsid w:val="76CDE269"/>
    <w:multiLevelType w:val="singleLevel"/>
    <w:tmpl w:val="76CDE269"/>
    <w:lvl w:ilvl="0" w:tentative="0">
      <w:start w:val="1"/>
      <w:numFmt w:val="chineseCounting"/>
      <w:suff w:val="nothing"/>
      <w:lvlText w:val="（%1）"/>
      <w:lvlJc w:val="left"/>
      <w:pPr>
        <w:ind w:left="630" w:leftChars="0" w:firstLine="0" w:firstLineChars="0"/>
      </w:pPr>
      <w:rPr>
        <w:rFonts w:hint="eastAsia"/>
        <w:b/>
        <w:bCs/>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DM0ODc4MzU5MGIxYTkzMTUwZTRhOTE1NWRkZmNkYmMifQ=="/>
  </w:docVars>
  <w:rsids>
    <w:rsidRoot w:val="00BE0A5F"/>
    <w:rsid w:val="0001656A"/>
    <w:rsid w:val="0004501E"/>
    <w:rsid w:val="0009602E"/>
    <w:rsid w:val="000F6530"/>
    <w:rsid w:val="0016453A"/>
    <w:rsid w:val="001666A4"/>
    <w:rsid w:val="0017186F"/>
    <w:rsid w:val="002368E5"/>
    <w:rsid w:val="003259F6"/>
    <w:rsid w:val="004574AE"/>
    <w:rsid w:val="005B48BC"/>
    <w:rsid w:val="00657C90"/>
    <w:rsid w:val="00930A7D"/>
    <w:rsid w:val="009C244F"/>
    <w:rsid w:val="00A11D76"/>
    <w:rsid w:val="00B832D1"/>
    <w:rsid w:val="00BE0A5F"/>
    <w:rsid w:val="00BE4A53"/>
    <w:rsid w:val="00C34726"/>
    <w:rsid w:val="00C67F4E"/>
    <w:rsid w:val="00D00822"/>
    <w:rsid w:val="00D65E9F"/>
    <w:rsid w:val="00D66ADB"/>
    <w:rsid w:val="00E3020C"/>
    <w:rsid w:val="01DB2F46"/>
    <w:rsid w:val="021241A5"/>
    <w:rsid w:val="037417F6"/>
    <w:rsid w:val="03E25368"/>
    <w:rsid w:val="03E55130"/>
    <w:rsid w:val="04314031"/>
    <w:rsid w:val="04CF6747"/>
    <w:rsid w:val="05F11AEC"/>
    <w:rsid w:val="06DE3B35"/>
    <w:rsid w:val="081D5A95"/>
    <w:rsid w:val="0909768C"/>
    <w:rsid w:val="0A3436B6"/>
    <w:rsid w:val="0A363EC4"/>
    <w:rsid w:val="0A486223"/>
    <w:rsid w:val="0A7B545D"/>
    <w:rsid w:val="0BB200B7"/>
    <w:rsid w:val="0BB534F9"/>
    <w:rsid w:val="0C3751E7"/>
    <w:rsid w:val="0CD306B1"/>
    <w:rsid w:val="0D1B1FEF"/>
    <w:rsid w:val="0D480744"/>
    <w:rsid w:val="0D4A336C"/>
    <w:rsid w:val="0E6B223A"/>
    <w:rsid w:val="0E807B77"/>
    <w:rsid w:val="10CD6322"/>
    <w:rsid w:val="11651D85"/>
    <w:rsid w:val="11CA5D20"/>
    <w:rsid w:val="129E0DA4"/>
    <w:rsid w:val="145A00B3"/>
    <w:rsid w:val="151218FF"/>
    <w:rsid w:val="17E43BD3"/>
    <w:rsid w:val="18BA2985"/>
    <w:rsid w:val="19562DB4"/>
    <w:rsid w:val="1A197664"/>
    <w:rsid w:val="1A803CDE"/>
    <w:rsid w:val="1B2D1032"/>
    <w:rsid w:val="1D2B6181"/>
    <w:rsid w:val="1D730226"/>
    <w:rsid w:val="1E5C08ED"/>
    <w:rsid w:val="1E6A731D"/>
    <w:rsid w:val="204A7B3E"/>
    <w:rsid w:val="2069036F"/>
    <w:rsid w:val="215E415E"/>
    <w:rsid w:val="216315DA"/>
    <w:rsid w:val="22865B95"/>
    <w:rsid w:val="23F92395"/>
    <w:rsid w:val="255211C6"/>
    <w:rsid w:val="265F0117"/>
    <w:rsid w:val="270B3258"/>
    <w:rsid w:val="27BE33C7"/>
    <w:rsid w:val="29B03AB9"/>
    <w:rsid w:val="29D829E9"/>
    <w:rsid w:val="2A13043E"/>
    <w:rsid w:val="2AE21A7E"/>
    <w:rsid w:val="2B2B25A4"/>
    <w:rsid w:val="2C1E45EB"/>
    <w:rsid w:val="2C8F641D"/>
    <w:rsid w:val="2CBC06A5"/>
    <w:rsid w:val="2D7243E2"/>
    <w:rsid w:val="2E411352"/>
    <w:rsid w:val="2EA35664"/>
    <w:rsid w:val="2FCD6EAD"/>
    <w:rsid w:val="33B02B0E"/>
    <w:rsid w:val="34A844AD"/>
    <w:rsid w:val="35114FC3"/>
    <w:rsid w:val="35843105"/>
    <w:rsid w:val="36821AE0"/>
    <w:rsid w:val="37007D4D"/>
    <w:rsid w:val="3975442A"/>
    <w:rsid w:val="3C577838"/>
    <w:rsid w:val="3CB311CC"/>
    <w:rsid w:val="3DAC097A"/>
    <w:rsid w:val="3E627D02"/>
    <w:rsid w:val="404C55B4"/>
    <w:rsid w:val="4106007A"/>
    <w:rsid w:val="41835255"/>
    <w:rsid w:val="42BB1065"/>
    <w:rsid w:val="43E80D2E"/>
    <w:rsid w:val="444E5AA1"/>
    <w:rsid w:val="448D7D7D"/>
    <w:rsid w:val="45664F1B"/>
    <w:rsid w:val="466D4074"/>
    <w:rsid w:val="474546F3"/>
    <w:rsid w:val="48633997"/>
    <w:rsid w:val="4BF77B63"/>
    <w:rsid w:val="4C3178CB"/>
    <w:rsid w:val="4C4E48A1"/>
    <w:rsid w:val="4D23257D"/>
    <w:rsid w:val="4D466292"/>
    <w:rsid w:val="4D6921EC"/>
    <w:rsid w:val="4DC10707"/>
    <w:rsid w:val="4E003D5B"/>
    <w:rsid w:val="4F081BCD"/>
    <w:rsid w:val="4F3F3782"/>
    <w:rsid w:val="52DF041D"/>
    <w:rsid w:val="533F7727"/>
    <w:rsid w:val="53974F22"/>
    <w:rsid w:val="53EB7F89"/>
    <w:rsid w:val="53FF5E6C"/>
    <w:rsid w:val="54520980"/>
    <w:rsid w:val="5471497A"/>
    <w:rsid w:val="554938D1"/>
    <w:rsid w:val="55A75606"/>
    <w:rsid w:val="55CF7726"/>
    <w:rsid w:val="5790449B"/>
    <w:rsid w:val="5AC05834"/>
    <w:rsid w:val="5B89467F"/>
    <w:rsid w:val="5E8C58DD"/>
    <w:rsid w:val="5FB11960"/>
    <w:rsid w:val="5FC76229"/>
    <w:rsid w:val="610C3D02"/>
    <w:rsid w:val="613F7DD6"/>
    <w:rsid w:val="61A44884"/>
    <w:rsid w:val="627523FA"/>
    <w:rsid w:val="62C05FBA"/>
    <w:rsid w:val="62E24704"/>
    <w:rsid w:val="63526842"/>
    <w:rsid w:val="63633845"/>
    <w:rsid w:val="6565544F"/>
    <w:rsid w:val="65F81EFA"/>
    <w:rsid w:val="66C01E68"/>
    <w:rsid w:val="66ED6FAB"/>
    <w:rsid w:val="69F667D7"/>
    <w:rsid w:val="6A0F30AD"/>
    <w:rsid w:val="6A745652"/>
    <w:rsid w:val="6A7B2DF0"/>
    <w:rsid w:val="6AB513FC"/>
    <w:rsid w:val="6B632D32"/>
    <w:rsid w:val="6B674FAB"/>
    <w:rsid w:val="6BB25968"/>
    <w:rsid w:val="6BD1254A"/>
    <w:rsid w:val="6C1E159E"/>
    <w:rsid w:val="6C261F07"/>
    <w:rsid w:val="6CCB732B"/>
    <w:rsid w:val="6DCB2841"/>
    <w:rsid w:val="6F6D75C5"/>
    <w:rsid w:val="70221588"/>
    <w:rsid w:val="73241B2C"/>
    <w:rsid w:val="738E41D8"/>
    <w:rsid w:val="741F67A7"/>
    <w:rsid w:val="74AA6C70"/>
    <w:rsid w:val="753021B4"/>
    <w:rsid w:val="753235B1"/>
    <w:rsid w:val="760C7DB1"/>
    <w:rsid w:val="763942C5"/>
    <w:rsid w:val="78A07AF1"/>
    <w:rsid w:val="7BCC52AC"/>
    <w:rsid w:val="7D5B378B"/>
    <w:rsid w:val="7E545619"/>
    <w:rsid w:val="7E7D4EB1"/>
    <w:rsid w:val="7F067108"/>
    <w:rsid w:val="7FEC2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3245</Words>
  <Characters>3656</Characters>
  <Lines>12</Lines>
  <Paragraphs>3</Paragraphs>
  <TotalTime>0</TotalTime>
  <ScaleCrop>false</ScaleCrop>
  <LinksUpToDate>false</LinksUpToDate>
  <CharactersWithSpaces>3711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沐云风间</cp:lastModifiedBy>
  <cp:lastPrinted>2021-07-29T08:34:00Z</cp:lastPrinted>
  <dcterms:modified xsi:type="dcterms:W3CDTF">2022-08-03T01:40:59Z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ECDD556061404EF2B754690746AC6B13</vt:lpwstr>
  </property>
</Properties>
</file>