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tbl>
      <w:tblPr>
        <w:tblStyle w:val="3"/>
        <w:tblW w:w="9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环保专项事务工作经费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大同市生态环境局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大同市生态环境局云州分局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53.94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71.92%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53.94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71.92%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保障环保一般业务活动的正常开展，保障单位行使管理职能的发挥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保障环保一般业务活动的正常开展，保障单位行使管理职能的发挥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提升日常工作完成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保障日常办公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按时完成日常工作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53.94万元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降低环境污染事件发生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降低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降低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项目实施和预算执行情况良好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保障环保业务开展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调动职工工作积极性，降低环境污染事件发生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职工对环保业务开展满意情况良好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根据业务需要有序开展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004F45"/>
    <w:rsid w:val="52EA4939"/>
    <w:rsid w:val="58657C88"/>
    <w:rsid w:val="7EC5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2022-03-09T07:15:00Z</dcterms:created>
  <dc:creator>Administrator</dc:creator>
  <cp:lastModifiedBy>Administrator</cp:lastModifiedBy>
  <dcterms:modified xsi:type="dcterms:W3CDTF">2012-01-14T14:04:32Z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ICV">
    <vt:lpwstr>36DE8AE1E4354F6CADF198E759DC5630</vt:lpwstr>
  </property>
</Properties>
</file>