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470"/>
        <w:gridCol w:w="735"/>
        <w:gridCol w:w="780"/>
        <w:gridCol w:w="283"/>
        <w:gridCol w:w="284"/>
        <w:gridCol w:w="425"/>
        <w:gridCol w:w="208"/>
        <w:gridCol w:w="643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填列单位（公章）：大同市生态环境局左云分局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环保专项事务工作经费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大同市生态环境局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左云分局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36.9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7.1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71%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专项业务资费单位个数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保障专项业务正常开展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7.1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7.1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开展专项业务及时性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71%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7.1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7.1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专项事务工作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经费总成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本（万元）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36.9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7.1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7.1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  <w:t>提高专项业务水平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&gt;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&gt;=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81.44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用于环保专项事务日常工作经费支出，2021年财政预算没有全额拨付，故执行力度下降。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2021年财政预算没有全额拨付，故专项业务工作及时性有所下降。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2021年财政预算没有全额拨付。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2021年财政预算没有全额拨付，故群众满意度有所下降。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只有环保专项事务工作经费足额发放，才能保证环保专项事务工作正常开展。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004F45"/>
    <w:rsid w:val="58657C88"/>
    <w:rsid w:val="5E1A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392</Words>
  <Characters>395</Characters>
  <Lines>0</Lines>
  <Paragraphs>0</Paragraphs>
  <TotalTime>1</TotalTime>
  <ScaleCrop>false</ScaleCrop>
  <LinksUpToDate>false</LinksUpToDate>
  <CharactersWithSpaces>423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2022-03-09T07:15:00Z</dcterms:created>
  <dc:creator>Administrator</dc:creator>
  <cp:lastModifiedBy>再见回声</cp:lastModifiedBy>
  <dcterms:modified xsi:type="dcterms:W3CDTF">2022-03-25T13:52:52Z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36DE8AE1E4354F6CADF198E759DC5630</vt:lpwstr>
  </property>
</Properties>
</file>