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160" w:line="240" w:lineRule="auto"/>
        <w:ind w:left="0" w:right="0" w:firstLine="0"/>
        <w:jc w:val="left"/>
        <w:rPr>
          <w:rFonts w:hint="eastAsia" w:eastAsia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</w:p>
    <w:p>
      <w:pPr>
        <w:pStyle w:val="14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省级财政</w:t>
      </w:r>
      <w:r>
        <w:rPr>
          <w:rFonts w:hint="eastAsia" w:cs="宋体"/>
          <w:b/>
          <w:bCs/>
          <w:sz w:val="36"/>
          <w:szCs w:val="36"/>
          <w:lang w:eastAsia="zh-CN"/>
        </w:rPr>
        <w:t>林业有害生物防治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 xml:space="preserve">项目支出绩效自评表 </w:t>
      </w:r>
      <w:r>
        <w:rPr>
          <w:rFonts w:hint="eastAsia" w:ascii="宋体" w:hAnsi="宋体" w:eastAsia="宋体" w:cs="宋体"/>
          <w:sz w:val="32"/>
          <w:szCs w:val="32"/>
        </w:rPr>
        <w:t xml:space="preserve">  </w:t>
      </w: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120" w:line="240" w:lineRule="auto"/>
        <w:ind w:left="0" w:right="0" w:firstLine="0"/>
        <w:jc w:val="center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0"/>
          <w:szCs w:val="30"/>
        </w:rPr>
        <w:t>（</w:t>
      </w:r>
      <w:r>
        <w:rPr>
          <w:rFonts w:hint="eastAsia" w:cs="宋体"/>
          <w:b/>
          <w:bCs/>
          <w:color w:val="000000"/>
          <w:spacing w:val="0"/>
          <w:w w:val="100"/>
          <w:position w:val="0"/>
          <w:sz w:val="30"/>
          <w:szCs w:val="30"/>
          <w:lang w:val="en-US" w:eastAsia="zh-CN"/>
        </w:rPr>
        <w:t>2021</w:t>
      </w: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0"/>
          <w:szCs w:val="30"/>
        </w:rPr>
        <w:t>年度）</w:t>
      </w:r>
    </w:p>
    <w:tbl>
      <w:tblPr>
        <w:tblStyle w:val="3"/>
        <w:tblW w:w="9265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39"/>
        <w:gridCol w:w="840"/>
        <w:gridCol w:w="802"/>
        <w:gridCol w:w="1200"/>
        <w:gridCol w:w="827"/>
        <w:gridCol w:w="939"/>
        <w:gridCol w:w="864"/>
        <w:gridCol w:w="317"/>
        <w:gridCol w:w="288"/>
        <w:gridCol w:w="331"/>
        <w:gridCol w:w="269"/>
        <w:gridCol w:w="557"/>
        <w:gridCol w:w="129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54" w:hRule="exact"/>
          <w:jc w:val="center"/>
        </w:trPr>
        <w:tc>
          <w:tcPr>
            <w:tcW w:w="1579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项目名称</w:t>
            </w:r>
          </w:p>
        </w:tc>
        <w:tc>
          <w:tcPr>
            <w:tcW w:w="7686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林业改革发展资金——  林业有害生物防治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24" w:hRule="exact"/>
          <w:jc w:val="center"/>
        </w:trPr>
        <w:tc>
          <w:tcPr>
            <w:tcW w:w="1579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主管部门</w:t>
            </w:r>
          </w:p>
        </w:tc>
        <w:tc>
          <w:tcPr>
            <w:tcW w:w="3768" w:type="dxa"/>
            <w:gridSpan w:val="4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color w:val="auto"/>
                <w:sz w:val="15"/>
                <w:szCs w:val="15"/>
                <w:lang w:eastAsia="zh-CN"/>
              </w:rPr>
            </w:pPr>
            <w:r>
              <w:rPr>
                <w:rFonts w:hint="eastAsia" w:eastAsia="宋体"/>
                <w:color w:val="auto"/>
                <w:sz w:val="15"/>
                <w:szCs w:val="15"/>
                <w:lang w:eastAsia="zh-CN"/>
              </w:rPr>
              <w:t>山西省林业和草原局</w:t>
            </w:r>
          </w:p>
        </w:tc>
        <w:tc>
          <w:tcPr>
            <w:tcW w:w="391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firstLine="0" w:firstLineChars="0"/>
              <w:jc w:val="center"/>
              <w:rPr>
                <w:rFonts w:hint="eastAsia" w:eastAsia="宋体"/>
                <w:color w:val="auto"/>
                <w:sz w:val="15"/>
                <w:szCs w:val="15"/>
                <w:lang w:eastAsia="zh-CN"/>
              </w:rPr>
            </w:pPr>
            <w:r>
              <w:rPr>
                <w:color w:val="auto"/>
                <w:spacing w:val="0"/>
                <w:w w:val="100"/>
                <w:position w:val="0"/>
                <w:sz w:val="15"/>
                <w:szCs w:val="15"/>
              </w:rPr>
              <w:t>实施单位</w:t>
            </w:r>
            <w:r>
              <w:rPr>
                <w:rFonts w:hint="eastAsia"/>
                <w:color w:val="auto"/>
                <w:spacing w:val="0"/>
                <w:w w:val="100"/>
                <w:position w:val="0"/>
                <w:sz w:val="15"/>
                <w:szCs w:val="15"/>
                <w:lang w:eastAsia="zh-CN"/>
              </w:rPr>
              <w:t>：大同市林业资源防治检疫监测中心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5" w:hRule="exact"/>
          <w:jc w:val="center"/>
        </w:trPr>
        <w:tc>
          <w:tcPr>
            <w:tcW w:w="15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5" w:lineRule="exact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项目资金（万元）</w:t>
            </w: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5" w:lineRule="exact"/>
              <w:ind w:left="0" w:right="0" w:firstLine="0"/>
              <w:jc w:val="center"/>
              <w:rPr>
                <w:rFonts w:hint="eastAsia"/>
                <w:color w:val="auto"/>
                <w:spacing w:val="0"/>
                <w:w w:val="100"/>
                <w:position w:val="0"/>
                <w:sz w:val="15"/>
                <w:szCs w:val="15"/>
                <w:lang w:eastAsia="zh-CN"/>
              </w:rPr>
            </w:pPr>
            <w:r>
              <w:rPr>
                <w:color w:val="auto"/>
                <w:spacing w:val="0"/>
                <w:w w:val="100"/>
                <w:position w:val="0"/>
                <w:sz w:val="15"/>
                <w:szCs w:val="15"/>
              </w:rPr>
              <w:t>年初</w:t>
            </w:r>
          </w:p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5" w:lineRule="exact"/>
              <w:ind w:left="0" w:right="0" w:firstLine="0"/>
              <w:jc w:val="center"/>
              <w:rPr>
                <w:color w:val="auto"/>
                <w:sz w:val="15"/>
                <w:szCs w:val="15"/>
              </w:rPr>
            </w:pPr>
            <w:r>
              <w:rPr>
                <w:color w:val="auto"/>
                <w:spacing w:val="0"/>
                <w:w w:val="100"/>
                <w:position w:val="0"/>
                <w:sz w:val="15"/>
                <w:szCs w:val="15"/>
              </w:rPr>
              <w:t>预算数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color w:val="auto"/>
                <w:sz w:val="15"/>
                <w:szCs w:val="15"/>
              </w:rPr>
            </w:pPr>
            <w:r>
              <w:rPr>
                <w:color w:val="auto"/>
                <w:spacing w:val="0"/>
                <w:w w:val="100"/>
                <w:position w:val="0"/>
                <w:sz w:val="15"/>
                <w:szCs w:val="15"/>
              </w:rPr>
              <w:t>全年预算数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color w:val="auto"/>
                <w:sz w:val="15"/>
                <w:szCs w:val="15"/>
              </w:rPr>
            </w:pPr>
            <w:r>
              <w:rPr>
                <w:color w:val="auto"/>
                <w:spacing w:val="0"/>
                <w:w w:val="100"/>
                <w:position w:val="0"/>
                <w:sz w:val="15"/>
                <w:szCs w:val="15"/>
              </w:rPr>
              <w:t>全年执行数</w:t>
            </w:r>
          </w:p>
        </w:tc>
        <w:tc>
          <w:tcPr>
            <w:tcW w:w="619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color w:val="auto"/>
                <w:sz w:val="15"/>
                <w:szCs w:val="15"/>
              </w:rPr>
            </w:pPr>
            <w:r>
              <w:rPr>
                <w:color w:val="auto"/>
                <w:spacing w:val="0"/>
                <w:w w:val="100"/>
                <w:position w:val="0"/>
                <w:sz w:val="15"/>
                <w:szCs w:val="15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color w:val="auto"/>
                <w:sz w:val="15"/>
                <w:szCs w:val="15"/>
              </w:rPr>
            </w:pPr>
            <w:r>
              <w:rPr>
                <w:color w:val="auto"/>
                <w:spacing w:val="0"/>
                <w:w w:val="100"/>
                <w:position w:val="0"/>
                <w:sz w:val="15"/>
                <w:szCs w:val="15"/>
              </w:rPr>
              <w:t>执行率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color w:val="auto"/>
                <w:sz w:val="15"/>
                <w:szCs w:val="15"/>
              </w:rPr>
            </w:pPr>
            <w:r>
              <w:rPr>
                <w:color w:val="auto"/>
                <w:spacing w:val="0"/>
                <w:w w:val="100"/>
                <w:position w:val="0"/>
                <w:sz w:val="15"/>
                <w:szCs w:val="15"/>
              </w:rPr>
              <w:t>得分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5" w:hRule="exact"/>
          <w:jc w:val="center"/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年度资金总额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color w:val="FF0000"/>
                <w:spacing w:val="0"/>
                <w:w w:val="100"/>
                <w:position w:val="0"/>
                <w:sz w:val="15"/>
                <w:szCs w:val="15"/>
                <w:shd w:val="clear" w:color="auto" w:fill="auto"/>
                <w:lang w:val="en-US" w:eastAsia="zh-CN" w:bidi="en-US"/>
              </w:rPr>
            </w:pPr>
            <w:r>
              <w:rPr>
                <w:rFonts w:hint="eastAsia" w:eastAsia="宋体"/>
                <w:color w:val="auto"/>
                <w:sz w:val="15"/>
                <w:szCs w:val="15"/>
                <w:lang w:val="en-US" w:eastAsia="zh-CN"/>
              </w:rPr>
              <w:t>16万元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color w:val="FF0000"/>
                <w:spacing w:val="0"/>
                <w:w w:val="100"/>
                <w:position w:val="0"/>
                <w:sz w:val="15"/>
                <w:szCs w:val="15"/>
                <w:shd w:val="clear" w:color="auto" w:fill="auto"/>
                <w:lang w:val="en-US" w:eastAsia="zh-CN" w:bidi="en-US"/>
              </w:rPr>
            </w:pPr>
            <w:r>
              <w:rPr>
                <w:rFonts w:hint="eastAsia" w:eastAsia="宋体"/>
                <w:color w:val="auto"/>
                <w:sz w:val="15"/>
                <w:szCs w:val="15"/>
                <w:lang w:val="en-US" w:eastAsia="zh-CN"/>
              </w:rPr>
              <w:t>16万元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15"/>
                <w:szCs w:val="15"/>
                <w:shd w:val="clear" w:color="auto" w:fill="auto"/>
                <w:lang w:val="en-US" w:eastAsia="zh-CN" w:bidi="en-US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15.96万元</w:t>
            </w:r>
          </w:p>
        </w:tc>
        <w:tc>
          <w:tcPr>
            <w:tcW w:w="619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5"/>
                <w:szCs w:val="15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99.75%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9.97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5" w:hRule="exact"/>
          <w:jc w:val="center"/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其中：中央财政资金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619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22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</w:p>
        </w:tc>
        <w:tc>
          <w:tcPr>
            <w:tcW w:w="82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一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5" w:hRule="exact"/>
          <w:jc w:val="center"/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6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省级财政资金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color w:val="FF0000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5"/>
                <w:szCs w:val="15"/>
                <w:lang w:val="en-US" w:eastAsia="zh-CN"/>
              </w:rPr>
              <w:t>16万元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color w:val="FF0000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5"/>
                <w:szCs w:val="15"/>
                <w:lang w:val="en-US" w:eastAsia="zh-CN"/>
              </w:rPr>
              <w:t>16万元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15.96万元</w:t>
            </w:r>
          </w:p>
        </w:tc>
        <w:tc>
          <w:tcPr>
            <w:tcW w:w="619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一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99.75%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一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33" w:hRule="exact"/>
          <w:jc w:val="center"/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市县（区）财政资金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619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22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一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—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5" w:hRule="exact"/>
          <w:jc w:val="center"/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其他资金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619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22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一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32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一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5" w:hRule="exact"/>
          <w:jc w:val="center"/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上年结转资金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619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—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0" w:hRule="exact"/>
          <w:jc w:val="center"/>
        </w:trPr>
        <w:tc>
          <w:tcPr>
            <w:tcW w:w="739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5" w:lineRule="exact"/>
              <w:ind w:left="180" w:right="0" w:firstLine="2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年度总体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  <w:lang w:eastAsia="zh-CN"/>
              </w:rPr>
              <w:t>绩效</w:t>
            </w: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目标</w:t>
            </w:r>
          </w:p>
        </w:tc>
        <w:tc>
          <w:tcPr>
            <w:tcW w:w="4608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预期目标</w:t>
            </w:r>
          </w:p>
        </w:tc>
        <w:tc>
          <w:tcPr>
            <w:tcW w:w="391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实际完成情况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01" w:hRule="exact"/>
          <w:jc w:val="center"/>
        </w:trPr>
        <w:tc>
          <w:tcPr>
            <w:tcW w:w="739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4608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ind w:firstLine="360" w:firstLineChars="200"/>
              <w:jc w:val="left"/>
              <w:rPr>
                <w:rFonts w:hint="eastAsia" w:eastAsia="宋体"/>
                <w:color w:val="FF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为全市林业有害生物防治贮备应急药剂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及监测器材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2套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，来应对林业有害生物危害，特别是加强对突发性暴发性重大林业有害生物的危害的应对能力，保护我市林业生态安全。</w:t>
            </w:r>
          </w:p>
          <w:p>
            <w:pPr>
              <w:widowControl w:val="0"/>
              <w:jc w:val="center"/>
              <w:rPr>
                <w:rFonts w:hint="eastAsia" w:eastAsia="宋体"/>
                <w:color w:val="FF0000"/>
                <w:sz w:val="15"/>
                <w:szCs w:val="15"/>
                <w:lang w:eastAsia="zh-CN"/>
              </w:rPr>
            </w:pPr>
          </w:p>
        </w:tc>
        <w:tc>
          <w:tcPr>
            <w:tcW w:w="391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color w:val="FF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圆满完成，有效保护了我市林业生态安全。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7" w:hRule="exact"/>
          <w:jc w:val="center"/>
        </w:trPr>
        <w:tc>
          <w:tcPr>
            <w:tcW w:w="739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绩效指标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16" w:lineRule="exact"/>
              <w:ind w:left="0" w:leftChars="0" w:right="0" w:firstLine="0" w:firstLineChars="0"/>
              <w:jc w:val="center"/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  <w:lang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  <w:lang w:eastAsia="zh-CN"/>
              </w:rPr>
              <w:t>一级</w:t>
            </w:r>
          </w:p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16" w:lineRule="exact"/>
              <w:ind w:left="0" w:leftChars="0" w:right="0" w:firstLine="0" w:firstLineChars="0"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  <w:lang w:eastAsia="zh-CN"/>
              </w:rPr>
              <w:t>指标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16" w:lineRule="exact"/>
              <w:ind w:left="16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二级 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firstLine="0" w:firstLineChars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三级指标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11" w:lineRule="exact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年度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  <w:lang w:eastAsia="zh-CN"/>
              </w:rPr>
              <w:t>　　　　　　　　　　　　</w:t>
            </w: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指标值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16" w:lineRule="exact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调整后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  <w:lang w:eastAsia="zh-CN"/>
              </w:rPr>
              <w:t>　　　　　　　　　　　　　　</w:t>
            </w: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年度指标值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16" w:lineRule="exact"/>
              <w:ind w:left="0" w:right="0" w:firstLine="0"/>
              <w:jc w:val="center"/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  <w:lang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实际</w:t>
            </w:r>
          </w:p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16" w:lineRule="exact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完成值</w:t>
            </w:r>
          </w:p>
        </w:tc>
        <w:tc>
          <w:tcPr>
            <w:tcW w:w="60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分值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auto"/>
                <w:spacing w:val="0"/>
                <w:w w:val="100"/>
                <w:position w:val="0"/>
                <w:sz w:val="15"/>
                <w:szCs w:val="15"/>
              </w:rPr>
              <w:t>得分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21" w:lineRule="exact"/>
              <w:ind w:left="0" w:right="0" w:firstLine="0"/>
              <w:jc w:val="center"/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  <w:lang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偏差原因分析</w:t>
            </w:r>
          </w:p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21" w:lineRule="exact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及改进措施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7" w:hRule="exact"/>
          <w:jc w:val="center"/>
        </w:trPr>
        <w:tc>
          <w:tcPr>
            <w:tcW w:w="739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178" w:lineRule="exact"/>
              <w:ind w:left="0" w:right="0" w:firstLine="0"/>
              <w:jc w:val="center"/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产出</w:t>
            </w:r>
          </w:p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178" w:lineRule="exact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指标</w:t>
            </w:r>
          </w:p>
        </w:tc>
        <w:tc>
          <w:tcPr>
            <w:tcW w:w="80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16" w:lineRule="exact"/>
              <w:ind w:left="16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数量指标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指标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5"/>
                <w:szCs w:val="15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15"/>
                <w:szCs w:val="15"/>
                <w:lang w:eastAsia="zh-CN"/>
              </w:rPr>
              <w:t>：松林监测</w:t>
            </w:r>
            <w:r>
              <w:rPr>
                <w:rFonts w:hint="eastAsia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5"/>
                <w:szCs w:val="15"/>
              </w:rPr>
              <w:t>面积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203万亩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rFonts w:hint="eastAsia" w:eastAsia="宋体"/>
                <w:sz w:val="15"/>
                <w:szCs w:val="15"/>
                <w:lang w:eastAsia="zh-CN"/>
              </w:rPr>
              <w:t>全覆盖</w:t>
            </w:r>
          </w:p>
        </w:tc>
        <w:tc>
          <w:tcPr>
            <w:tcW w:w="60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exact"/>
          <w:jc w:val="center"/>
        </w:trPr>
        <w:tc>
          <w:tcPr>
            <w:tcW w:w="739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0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指标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5"/>
                <w:szCs w:val="15"/>
              </w:rPr>
              <w:t>2</w:t>
            </w: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：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</w:rPr>
              <w:t>购置防治药剂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  <w:lang w:eastAsia="zh-CN"/>
              </w:rPr>
              <w:t>（器械）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 xml:space="preserve">2吨 \ 2（套） 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2吨  \2（套）</w:t>
            </w:r>
          </w:p>
        </w:tc>
        <w:tc>
          <w:tcPr>
            <w:tcW w:w="60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5" w:hRule="exact"/>
          <w:jc w:val="center"/>
        </w:trPr>
        <w:tc>
          <w:tcPr>
            <w:tcW w:w="739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0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tabs>
                <w:tab w:val="left" w:leader="dot" w:pos="326"/>
              </w:tabs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15"/>
                <w:szCs w:val="15"/>
                <w:lang w:val="en-US" w:eastAsia="zh-CN" w:bidi="en-US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15"/>
                <w:szCs w:val="15"/>
                <w:lang w:val="en-US" w:eastAsia="zh-CN" w:bidi="en-US"/>
              </w:rPr>
              <w:t>指标3： 国家级测报点数量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3个</w:t>
            </w:r>
          </w:p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5"/>
                <w:szCs w:val="15"/>
                <w:lang w:val="en-US" w:eastAsia="zh-CN"/>
              </w:rPr>
              <w:t>3个</w:t>
            </w:r>
          </w:p>
        </w:tc>
        <w:tc>
          <w:tcPr>
            <w:tcW w:w="60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0" w:hRule="exact"/>
          <w:jc w:val="center"/>
        </w:trPr>
        <w:tc>
          <w:tcPr>
            <w:tcW w:w="739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0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0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21" w:lineRule="exact"/>
              <w:ind w:left="16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质量指标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指标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5"/>
                <w:szCs w:val="15"/>
              </w:rPr>
              <w:t>1</w:t>
            </w: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：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</w:rPr>
              <w:t>林业有害生物成灾率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3.5</w:t>
            </w:r>
            <w:r>
              <w:rPr>
                <w:rFonts w:hint="eastAsia" w:ascii="汉仪瑞意宋简" w:hAnsi="汉仪瑞意宋简" w:eastAsia="汉仪瑞意宋简" w:cs="汉仪瑞意宋简"/>
                <w:sz w:val="15"/>
                <w:szCs w:val="15"/>
                <w:lang w:val="en-US" w:eastAsia="zh-CN"/>
              </w:rPr>
              <w:t>‰以下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color w:val="FF0000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3.5</w:t>
            </w:r>
            <w:r>
              <w:rPr>
                <w:rFonts w:hint="eastAsia" w:ascii="汉仪瑞意宋简" w:hAnsi="汉仪瑞意宋简" w:eastAsia="汉仪瑞意宋简" w:cs="汉仪瑞意宋简"/>
                <w:sz w:val="15"/>
                <w:szCs w:val="15"/>
                <w:lang w:val="en-US" w:eastAsia="zh-CN"/>
              </w:rPr>
              <w:t>‰以下</w:t>
            </w:r>
          </w:p>
        </w:tc>
        <w:tc>
          <w:tcPr>
            <w:tcW w:w="60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7" w:hRule="exact"/>
          <w:jc w:val="center"/>
        </w:trPr>
        <w:tc>
          <w:tcPr>
            <w:tcW w:w="739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0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指标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5"/>
                <w:szCs w:val="15"/>
              </w:rPr>
              <w:t>2</w:t>
            </w: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：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</w:rPr>
              <w:t>林业有害生物无公害防治率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84%以上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color w:val="FF0000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5"/>
                <w:szCs w:val="15"/>
                <w:lang w:val="en-US" w:eastAsia="zh-CN"/>
              </w:rPr>
              <w:t>85%</w:t>
            </w:r>
          </w:p>
        </w:tc>
        <w:tc>
          <w:tcPr>
            <w:tcW w:w="60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0" w:hRule="exact"/>
          <w:jc w:val="center"/>
        </w:trPr>
        <w:tc>
          <w:tcPr>
            <w:tcW w:w="739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0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21" w:lineRule="exact"/>
              <w:ind w:left="16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时效指标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指标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5"/>
                <w:szCs w:val="15"/>
              </w:rPr>
              <w:t>1</w:t>
            </w: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：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</w:rPr>
              <w:t>年度任务完成率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60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7" w:hRule="exact"/>
          <w:jc w:val="center"/>
        </w:trPr>
        <w:tc>
          <w:tcPr>
            <w:tcW w:w="739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0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16" w:lineRule="exact"/>
              <w:ind w:left="16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成本指标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指标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5"/>
                <w:szCs w:val="15"/>
              </w:rPr>
              <w:t>1:</w:t>
            </w: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15"/>
                <w:szCs w:val="15"/>
                <w:lang w:eastAsia="zh-CN"/>
              </w:rPr>
              <w:t>亩均防治成本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降低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bidi w:val="0"/>
              <w:ind w:firstLine="300" w:firstLineChars="200"/>
              <w:jc w:val="left"/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 w:bidi="en-US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降低</w:t>
            </w:r>
          </w:p>
        </w:tc>
        <w:tc>
          <w:tcPr>
            <w:tcW w:w="60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739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21" w:lineRule="exact"/>
              <w:ind w:left="220" w:right="0" w:firstLine="0"/>
              <w:jc w:val="center"/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  <w:lang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效益</w:t>
            </w:r>
          </w:p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21" w:lineRule="exact"/>
              <w:ind w:left="22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指标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  <w:t>经济</w:t>
            </w:r>
          </w:p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  <w:t>效益</w:t>
            </w:r>
          </w:p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  <w:t>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指标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5"/>
                <w:szCs w:val="15"/>
              </w:rPr>
              <w:t>1</w:t>
            </w: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：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</w:rPr>
              <w:t>有害生物造成经济损失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rFonts w:hint="eastAsia" w:eastAsia="宋体"/>
                <w:sz w:val="15"/>
                <w:szCs w:val="15"/>
                <w:lang w:eastAsia="zh-CN"/>
              </w:rPr>
              <w:t>得到有效控制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rFonts w:hint="eastAsia" w:eastAsia="宋体"/>
                <w:sz w:val="15"/>
                <w:szCs w:val="15"/>
                <w:lang w:eastAsia="zh-CN"/>
              </w:rPr>
              <w:t>得到有效控制</w:t>
            </w:r>
          </w:p>
        </w:tc>
        <w:tc>
          <w:tcPr>
            <w:tcW w:w="60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exact"/>
          <w:jc w:val="center"/>
        </w:trPr>
        <w:tc>
          <w:tcPr>
            <w:tcW w:w="739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0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  <w:t>社会</w:t>
            </w:r>
          </w:p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  <w:t>效益</w:t>
            </w:r>
          </w:p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  <w:t>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指标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5"/>
                <w:szCs w:val="15"/>
              </w:rPr>
              <w:t>1</w:t>
            </w: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：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</w:rPr>
              <w:t>增加劳动力就业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rFonts w:hint="eastAsia" w:eastAsia="宋体"/>
                <w:sz w:val="15"/>
                <w:szCs w:val="15"/>
                <w:lang w:eastAsia="zh-CN"/>
              </w:rPr>
              <w:t>较好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rFonts w:hint="eastAsia" w:eastAsia="宋体"/>
                <w:sz w:val="15"/>
                <w:szCs w:val="15"/>
                <w:lang w:eastAsia="zh-CN"/>
              </w:rPr>
              <w:t>较好</w:t>
            </w:r>
          </w:p>
        </w:tc>
        <w:tc>
          <w:tcPr>
            <w:tcW w:w="60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1" w:hRule="exact"/>
          <w:jc w:val="center"/>
        </w:trPr>
        <w:tc>
          <w:tcPr>
            <w:tcW w:w="739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0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  <w:t>生态</w:t>
            </w:r>
          </w:p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  <w:t>效益</w:t>
            </w:r>
          </w:p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  <w:t>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指标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5"/>
                <w:szCs w:val="15"/>
              </w:rPr>
              <w:t>1</w:t>
            </w: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：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</w:rPr>
              <w:t>生态环境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rFonts w:hint="eastAsia" w:eastAsia="宋体"/>
                <w:sz w:val="15"/>
                <w:szCs w:val="15"/>
                <w:lang w:eastAsia="zh-CN"/>
              </w:rPr>
              <w:t>得到改善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rFonts w:hint="eastAsia" w:eastAsia="宋体"/>
                <w:sz w:val="15"/>
                <w:szCs w:val="15"/>
                <w:lang w:eastAsia="zh-CN"/>
              </w:rPr>
              <w:t>得到改善</w:t>
            </w:r>
          </w:p>
        </w:tc>
        <w:tc>
          <w:tcPr>
            <w:tcW w:w="60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7" w:hRule="exact"/>
          <w:jc w:val="center"/>
        </w:trPr>
        <w:tc>
          <w:tcPr>
            <w:tcW w:w="739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0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  <w:t>可持续</w:t>
            </w:r>
          </w:p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  <w:t>影响</w:t>
            </w:r>
          </w:p>
          <w:p>
            <w:pPr>
              <w:widowControl w:val="0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  <w:t>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指标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5"/>
                <w:szCs w:val="15"/>
              </w:rPr>
              <w:t>1</w:t>
            </w: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：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  <w:lang w:eastAsia="zh-CN"/>
              </w:rPr>
              <w:t>推进灾害可持续控制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rFonts w:hint="eastAsia" w:eastAsia="宋体"/>
                <w:sz w:val="15"/>
                <w:szCs w:val="15"/>
                <w:lang w:eastAsia="zh-CN"/>
              </w:rPr>
              <w:t>长期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rFonts w:hint="eastAsia" w:eastAsia="宋体"/>
                <w:sz w:val="15"/>
                <w:szCs w:val="15"/>
                <w:lang w:eastAsia="zh-CN"/>
              </w:rPr>
              <w:t>长期</w:t>
            </w:r>
          </w:p>
        </w:tc>
        <w:tc>
          <w:tcPr>
            <w:tcW w:w="60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5" w:hRule="exact"/>
          <w:jc w:val="center"/>
        </w:trPr>
        <w:tc>
          <w:tcPr>
            <w:tcW w:w="739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16" w:lineRule="exact"/>
              <w:ind w:left="0" w:right="0" w:firstLine="0"/>
              <w:jc w:val="center"/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满意度</w:t>
            </w:r>
          </w:p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16" w:lineRule="exact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指标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  <w:t>服务</w:t>
            </w:r>
          </w:p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  <w:t>对象</w:t>
            </w:r>
          </w:p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  <w:t>满意</w:t>
            </w:r>
          </w:p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  <w:t>度指标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指标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5"/>
                <w:szCs w:val="15"/>
              </w:rPr>
              <w:t>1</w:t>
            </w: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：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</w:rPr>
              <w:t>民众、森防站、林场职工满意度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90%以上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95%</w:t>
            </w:r>
          </w:p>
        </w:tc>
        <w:tc>
          <w:tcPr>
            <w:tcW w:w="60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85" w:hRule="exact"/>
          <w:jc w:val="center"/>
        </w:trPr>
        <w:tc>
          <w:tcPr>
            <w:tcW w:w="621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总分</w:t>
            </w:r>
          </w:p>
        </w:tc>
        <w:tc>
          <w:tcPr>
            <w:tcW w:w="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99.7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</w:tr>
    </w:tbl>
    <w:p>
      <w:pPr>
        <w:spacing w:line="1" w:lineRule="exact"/>
        <w:rPr>
          <w:sz w:val="2"/>
          <w:szCs w:val="2"/>
        </w:rPr>
      </w:pPr>
      <w:r>
        <w:rPr>
          <w:sz w:val="15"/>
          <w:szCs w:val="15"/>
        </w:rPr>
        <w:br w:type="page"/>
      </w:r>
    </w:p>
    <w:p>
      <w:pPr>
        <w:pStyle w:val="14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2</w:t>
      </w:r>
      <w:r>
        <w:rPr>
          <w:rFonts w:hint="eastAsia" w:cs="宋体"/>
          <w:b/>
          <w:bCs/>
          <w:sz w:val="36"/>
          <w:szCs w:val="36"/>
          <w:lang w:val="en-US" w:eastAsia="zh-CN"/>
        </w:rPr>
        <w:t>021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 xml:space="preserve">年省级财政项目支出绩效自评表   </w:t>
      </w: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120" w:line="240" w:lineRule="auto"/>
        <w:ind w:left="0" w:right="0" w:firstLine="0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6"/>
          <w:szCs w:val="36"/>
        </w:rPr>
        <w:t xml:space="preserve">（ </w:t>
      </w:r>
      <w:r>
        <w:rPr>
          <w:rFonts w:hint="eastAsia" w:cs="宋体"/>
          <w:b/>
          <w:bCs/>
          <w:color w:val="000000"/>
          <w:spacing w:val="0"/>
          <w:w w:val="100"/>
          <w:position w:val="0"/>
          <w:sz w:val="36"/>
          <w:szCs w:val="36"/>
          <w:lang w:val="en-US" w:eastAsia="zh-CN"/>
        </w:rPr>
        <w:t>2021</w:t>
      </w: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6"/>
          <w:szCs w:val="36"/>
        </w:rPr>
        <w:t>年度）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53"/>
        <w:gridCol w:w="840"/>
        <w:gridCol w:w="2098"/>
        <w:gridCol w:w="4526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25" w:hRule="exact"/>
          <w:jc w:val="center"/>
        </w:trPr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项目绩效分析</w:t>
            </w:r>
          </w:p>
        </w:tc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自评结果分析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5" w:lineRule="exact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项目实施和预算执行情况及分析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ind w:firstLine="420" w:firstLineChars="200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项目实施取得实效。一是</w:t>
            </w:r>
            <w:r>
              <w:rPr>
                <w:rFonts w:hint="eastAsia" w:ascii="仿宋_GB2312" w:eastAsia="仿宋_GB2312"/>
                <w:sz w:val="21"/>
                <w:szCs w:val="21"/>
              </w:rPr>
              <w:t>对全市森防技术人员进行了业务培训。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二</w:t>
            </w:r>
            <w:r>
              <w:rPr>
                <w:rFonts w:hint="eastAsia" w:ascii="仿宋_GB2312" w:eastAsia="仿宋_GB2312"/>
                <w:sz w:val="21"/>
                <w:szCs w:val="21"/>
              </w:rPr>
              <w:t>是加强宣传，普及知识，为创造积极有利的社会环境，通过广播、会议、印发宣传单、张贴宣传画等宣传工具，向社会广泛宣传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林业有害生物</w:t>
            </w:r>
            <w:r>
              <w:rPr>
                <w:rFonts w:hint="eastAsia" w:ascii="仿宋_GB2312" w:eastAsia="仿宋_GB2312"/>
                <w:sz w:val="21"/>
                <w:szCs w:val="21"/>
              </w:rPr>
              <w:t>危害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的严重</w:t>
            </w:r>
            <w:r>
              <w:rPr>
                <w:rFonts w:hint="eastAsia" w:ascii="仿宋_GB2312" w:eastAsia="仿宋_GB2312"/>
                <w:sz w:val="21"/>
                <w:szCs w:val="21"/>
              </w:rPr>
              <w:t>性，提高政府部门和社会各界对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林业有害生物防控工作</w:t>
            </w:r>
            <w:r>
              <w:rPr>
                <w:rFonts w:hint="eastAsia" w:ascii="仿宋_GB2312" w:eastAsia="仿宋_GB2312"/>
                <w:sz w:val="21"/>
                <w:szCs w:val="21"/>
              </w:rPr>
              <w:t>的认知和重视。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三</w:t>
            </w:r>
            <w:r>
              <w:rPr>
                <w:rFonts w:hint="eastAsia" w:ascii="仿宋_GB2312" w:eastAsia="仿宋_GB2312"/>
                <w:sz w:val="21"/>
                <w:szCs w:val="21"/>
              </w:rPr>
              <w:t>是在资金使用上，坚持“公开、公平、公正”原则，向全社会公开招标，建立严格的资金管理制度、专款专用，未出现挤占挪用现象发生。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四是</w:t>
            </w:r>
            <w:r>
              <w:rPr>
                <w:rFonts w:hint="eastAsia" w:ascii="仿宋_GB2312" w:eastAsia="仿宋_GB2312"/>
                <w:sz w:val="21"/>
                <w:szCs w:val="21"/>
              </w:rPr>
              <w:t>在制度建设上，我们制定了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项目</w:t>
            </w:r>
            <w:r>
              <w:rPr>
                <w:rFonts w:hint="eastAsia" w:ascii="仿宋_GB2312" w:eastAsia="仿宋_GB2312"/>
                <w:sz w:val="21"/>
                <w:szCs w:val="21"/>
              </w:rPr>
              <w:t>实施方案，要求各县区负责各自重点防控区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林业有害生物防控工作</w:t>
            </w:r>
            <w:r>
              <w:rPr>
                <w:rFonts w:hint="eastAsia" w:ascii="仿宋_GB2312" w:eastAsia="仿宋_GB2312"/>
                <w:sz w:val="21"/>
                <w:szCs w:val="21"/>
              </w:rPr>
              <w:t>，并及时汇报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监测防治</w:t>
            </w:r>
            <w:r>
              <w:rPr>
                <w:rFonts w:hint="eastAsia" w:ascii="仿宋_GB2312" w:eastAsia="仿宋_GB2312"/>
                <w:sz w:val="21"/>
                <w:szCs w:val="21"/>
              </w:rPr>
              <w:t>工作情况，在全市主要防控区布设各类引诱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监</w:t>
            </w:r>
            <w:r>
              <w:rPr>
                <w:rFonts w:hint="eastAsia" w:ascii="仿宋_GB2312" w:eastAsia="仿宋_GB2312"/>
                <w:sz w:val="21"/>
                <w:szCs w:val="21"/>
              </w:rPr>
              <w:t>测点若干个，指派专人定期监测。</w:t>
            </w:r>
          </w:p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32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产出情况及分析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eastAsia="仿宋"/>
                <w:sz w:val="10"/>
                <w:szCs w:val="1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项目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数量、质量指标设定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合理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及时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完成，资金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及时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支出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85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效益情况及分析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通过预防该项目实施，有效地遏制了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重大林业有害生物</w:t>
            </w:r>
            <w:r>
              <w:rPr>
                <w:rFonts w:hint="eastAsia" w:ascii="仿宋_GB2312" w:eastAsia="仿宋_GB2312"/>
                <w:sz w:val="21"/>
                <w:szCs w:val="21"/>
              </w:rPr>
              <w:t>的发生与传播，保护了我市绿化建设成果和森林生态安全，具有良好的社会效益。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78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满意度情况及分析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shd w:val="clear" w:color="auto" w:fill="auto"/>
              <w:spacing w:line="240" w:lineRule="exact"/>
              <w:ind w:firstLine="420" w:firstLineChars="200"/>
              <w:jc w:val="left"/>
              <w:rPr>
                <w:rFonts w:hint="eastAsia" w:ascii="仿宋_GB2312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  <w:lang w:eastAsia="zh-CN"/>
              </w:rPr>
              <w:t>经过调查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</w:rPr>
              <w:t>了解辖区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  <w:lang w:eastAsia="zh-CN"/>
              </w:rPr>
              <w:t>内各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</w:rPr>
              <w:t>森防站和防治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  <w:lang w:eastAsia="zh-CN"/>
              </w:rPr>
              <w:t>实施单位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</w:rPr>
              <w:t>、国有林场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  <w:lang w:eastAsia="zh-CN"/>
              </w:rPr>
              <w:t>等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</w:rPr>
              <w:t>，满意度达到9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</w:rPr>
              <w:t>%以上为满分。</w:t>
            </w:r>
          </w:p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83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主要经验做法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shd w:val="clear" w:color="auto" w:fill="auto"/>
              <w:spacing w:line="240" w:lineRule="exact"/>
              <w:ind w:firstLine="420" w:firstLineChars="200"/>
              <w:jc w:val="left"/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项目资金下达后及时编写实施方案，招标公司组织公开招标，中标单位提供采购货物，请专业人员按招标时的要求进行仔细验收，验收后由药库管理员及时登记入库，做好应急储备，监测器材放置于重点监测区域内进行监测记录，做到有危害，立即发现，立即处置。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auto"/>
              <w:spacing w:line="240" w:lineRule="exact"/>
              <w:ind w:firstLine="420" w:firstLineChars="200"/>
              <w:jc w:val="left"/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45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5" w:lineRule="exact"/>
              <w:ind w:left="0" w:right="0" w:firstLine="0"/>
              <w:jc w:val="center"/>
              <w:rPr>
                <w:rFonts w:hint="eastAsia"/>
                <w:color w:val="000000"/>
                <w:spacing w:val="0"/>
                <w:w w:val="100"/>
                <w:position w:val="0"/>
                <w:sz w:val="17"/>
                <w:szCs w:val="17"/>
                <w:lang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 xml:space="preserve">项目管理中存在的 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7"/>
                <w:szCs w:val="17"/>
                <w:lang w:eastAsia="zh-CN"/>
              </w:rPr>
              <w:t>　　　　　　　　　　</w:t>
            </w:r>
          </w:p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5" w:lineRule="exact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主要问题及原因分析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shd w:val="clear" w:color="auto" w:fill="auto"/>
              <w:spacing w:line="240" w:lineRule="exact"/>
              <w:ind w:firstLine="420" w:firstLineChars="200"/>
              <w:jc w:val="left"/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防治资金投入较少，不能保证重点地段全面监测到，应急药剂药械储备不足，当有突发大面积的林业有害生物灾害时，应急药剂药械会短缺。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auto"/>
              <w:spacing w:line="240" w:lineRule="exact"/>
              <w:ind w:firstLine="420" w:firstLineChars="200"/>
              <w:jc w:val="left"/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04" w:hRule="exact"/>
          <w:jc w:val="center"/>
        </w:trPr>
        <w:tc>
          <w:tcPr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0" w:lineRule="exact"/>
              <w:ind w:left="0" w:right="0" w:firstLine="0"/>
              <w:jc w:val="center"/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下一步改进措施</w:t>
            </w:r>
          </w:p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0" w:lineRule="exact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及管理建议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加强项目使用的监督管理。</w:t>
            </w:r>
          </w:p>
        </w:tc>
      </w:tr>
    </w:tbl>
    <w:p>
      <w:pPr>
        <w:sectPr>
          <w:footerReference r:id="rId7" w:type="first"/>
          <w:footerReference r:id="rId5" w:type="default"/>
          <w:footerReference r:id="rId6" w:type="even"/>
          <w:footnotePr>
            <w:numFmt w:val="decimal"/>
          </w:footnotePr>
          <w:pgSz w:w="11900" w:h="16840"/>
          <w:pgMar w:top="712" w:right="1507" w:bottom="1314" w:left="1613" w:header="0" w:footer="3" w:gutter="0"/>
          <w:cols w:space="720" w:num="1"/>
          <w:titlePg/>
          <w:rtlGutter w:val="0"/>
          <w:docGrid w:linePitch="360" w:charSpace="0"/>
        </w:sectPr>
      </w:pP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>
    <w:sectPr>
      <w:footerReference r:id="rId8" w:type="default"/>
      <w:footerReference r:id="rId9" w:type="even"/>
      <w:footnotePr>
        <w:numFmt w:val="decimal"/>
      </w:footnotePr>
      <w:type w:val="continuous"/>
      <w:pgSz w:w="11900" w:h="16840"/>
      <w:pgMar w:top="13460" w:right="1738" w:bottom="2225" w:left="1997" w:header="0" w:footer="3" w:gutter="0"/>
      <w:cols w:equalWidth="0" w:num="2">
        <w:col w:w="2798" w:space="2280"/>
        <w:col w:w="3086"/>
      </w:cols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瑞意宋简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5869305</wp:posOffset>
              </wp:positionH>
              <wp:positionV relativeFrom="page">
                <wp:posOffset>9745345</wp:posOffset>
              </wp:positionV>
              <wp:extent cx="570230" cy="109855"/>
              <wp:effectExtent l="0" t="0" r="0" b="0"/>
              <wp:wrapNone/>
              <wp:docPr id="6" name="Shap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570230" cy="109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20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en-US" w:eastAsia="en-US" w:bidi="en-US"/>
                            </w:rPr>
                            <w:t>—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9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6" o:spid="_x0000_s1026" o:spt="202" type="#_x0000_t202" style="position:absolute;left:0pt;margin-left:462.15pt;margin-top:767.35pt;height:8.65pt;width:44.9pt;mso-position-horizontal-relative:page;mso-position-vertical-relative:page;mso-wrap-style:none;z-index:-251657216;mso-width-relative:page;mso-height-relative:page;" filled="f" stroked="f" coordsize="21600,21600" o:gfxdata="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WAAAAZHJzL1BLAQIUABQAAAAIAIdO4kABGaOr2AAAAA4B&#10;AAAPAAAAAAAAAAEAIAAAADgAAABkcnMvZG93bnJldi54bWxQSwECFAAUAAAACACHTuJAIJyPj5MB&#10;AAAkAwAADgAAAAAAAAABACAAAAA9AQAAZHJzL2Uyb0RvYy54bWxQSwUGAAAAAAYABgBZAQAAQgUA&#10;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0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lang w:val="en-US" w:eastAsia="en-US" w:bidi="en-US"/>
                      </w:rPr>
                      <w:t>—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</w:rPr>
                      <w:t>9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5869305</wp:posOffset>
              </wp:positionH>
              <wp:positionV relativeFrom="page">
                <wp:posOffset>9745345</wp:posOffset>
              </wp:positionV>
              <wp:extent cx="570230" cy="109855"/>
              <wp:effectExtent l="0" t="0" r="0" b="0"/>
              <wp:wrapNone/>
              <wp:docPr id="8" name="Shap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570230" cy="109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20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8" o:spid="_x0000_s1026" o:spt="202" type="#_x0000_t202" style="position:absolute;left:0pt;margin-left:462.15pt;margin-top:767.35pt;height:8.65pt;width:44.9pt;mso-position-horizontal-relative:page;mso-position-vertical-relative:page;mso-wrap-style:none;z-index:-251657216;mso-width-relative:page;mso-height-relative:page;" filled="f" stroked="f" coordsize="21600,21600" o:gfxdata="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WAAAAZHJzL1BLAQIUABQAAAAIAIdO4kABGaOr2AAAAA4B&#10;AAAPAAAAAAAAAAEAIAAAADgAAABkcnMvZG93bnJldi54bWxQSwECFAAUAAAACACHTuJAVDA1OZMB&#10;AAAkAwAADgAAAAAAAAABACAAAAA9AQAAZHJzL2Uyb0RvYy54bWxQSwUGAAAAAAYABgBZAQAAQgUA&#10;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0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</w:p>
  </w:footnote>
  <w:footnote w:type="continuationSeparator" w:id="1">
    <w:p>
      <w:pPr>
        <w:spacing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evenAndOddHeaders w:val="tru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06C01989"/>
    <w:rsid w:val="17833E16"/>
    <w:rsid w:val="294B22F6"/>
    <w:rsid w:val="29FD65DE"/>
    <w:rsid w:val="3905419E"/>
    <w:rsid w:val="3B557A7F"/>
    <w:rsid w:val="3C6C1E6B"/>
    <w:rsid w:val="3FC948EA"/>
    <w:rsid w:val="3FF9AA8C"/>
    <w:rsid w:val="45C217CC"/>
    <w:rsid w:val="48611A95"/>
    <w:rsid w:val="4FFF3CCC"/>
    <w:rsid w:val="5D1F4928"/>
    <w:rsid w:val="6AFF575C"/>
    <w:rsid w:val="6E8334B2"/>
    <w:rsid w:val="6EE4058D"/>
    <w:rsid w:val="70E13606"/>
    <w:rsid w:val="7136725E"/>
    <w:rsid w:val="7F3FE1B8"/>
    <w:rsid w:val="87D3D23E"/>
    <w:rsid w:val="9BED548D"/>
    <w:rsid w:val="BBFC2257"/>
    <w:rsid w:val="BFFECCCD"/>
    <w:rsid w:val="DBED7C81"/>
    <w:rsid w:val="E6FDA7FD"/>
    <w:rsid w:val="FFF781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4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5">
    <w:name w:val="Heading #1|1_"/>
    <w:basedOn w:val="4"/>
    <w:link w:val="6"/>
    <w:qFormat/>
    <w:uiPriority w:val="0"/>
    <w:rPr>
      <w:rFonts w:ascii="宋体" w:hAnsi="宋体" w:eastAsia="宋体" w:cs="宋体"/>
      <w:color w:val="DD3826"/>
      <w:sz w:val="90"/>
      <w:szCs w:val="90"/>
      <w:u w:val="none"/>
      <w:shd w:val="clear" w:color="auto" w:fill="auto"/>
      <w:lang w:val="zh-TW" w:eastAsia="zh-TW" w:bidi="zh-TW"/>
    </w:rPr>
  </w:style>
  <w:style w:type="paragraph" w:customStyle="1" w:styleId="6">
    <w:name w:val="Heading #1|1"/>
    <w:basedOn w:val="1"/>
    <w:link w:val="5"/>
    <w:qFormat/>
    <w:uiPriority w:val="0"/>
    <w:pPr>
      <w:widowControl w:val="0"/>
      <w:shd w:val="clear" w:color="auto" w:fill="auto"/>
      <w:spacing w:after="800"/>
      <w:jc w:val="center"/>
      <w:outlineLvl w:val="0"/>
    </w:pPr>
    <w:rPr>
      <w:rFonts w:ascii="宋体" w:hAnsi="宋体" w:eastAsia="宋体" w:cs="宋体"/>
      <w:color w:val="DD3826"/>
      <w:sz w:val="90"/>
      <w:szCs w:val="90"/>
      <w:u w:val="none"/>
      <w:shd w:val="clear" w:color="auto" w:fill="auto"/>
      <w:lang w:val="zh-TW" w:eastAsia="zh-TW" w:bidi="zh-TW"/>
    </w:rPr>
  </w:style>
  <w:style w:type="character" w:customStyle="1" w:styleId="7">
    <w:name w:val="Header or footer|2_"/>
    <w:basedOn w:val="4"/>
    <w:link w:val="8"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8">
    <w:name w:val="Header or footer|2"/>
    <w:basedOn w:val="1"/>
    <w:link w:val="7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9">
    <w:name w:val="Body text|1_"/>
    <w:basedOn w:val="4"/>
    <w:link w:val="10"/>
    <w:qFormat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0">
    <w:name w:val="Body text|1"/>
    <w:basedOn w:val="1"/>
    <w:link w:val="9"/>
    <w:qFormat/>
    <w:uiPriority w:val="0"/>
    <w:pPr>
      <w:widowControl w:val="0"/>
      <w:shd w:val="clear" w:color="auto" w:fill="auto"/>
      <w:spacing w:line="434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11">
    <w:name w:val="Heading #3|1_"/>
    <w:basedOn w:val="4"/>
    <w:link w:val="12"/>
    <w:qFormat/>
    <w:uiPriority w:val="0"/>
    <w:rPr>
      <w:rFonts w:ascii="宋体" w:hAnsi="宋体" w:eastAsia="宋体" w:cs="宋体"/>
      <w:sz w:val="40"/>
      <w:szCs w:val="40"/>
      <w:u w:val="none"/>
      <w:shd w:val="clear" w:color="auto" w:fill="auto"/>
      <w:lang w:val="zh-TW" w:eastAsia="zh-TW" w:bidi="zh-TW"/>
    </w:rPr>
  </w:style>
  <w:style w:type="paragraph" w:customStyle="1" w:styleId="12">
    <w:name w:val="Heading #3|1"/>
    <w:basedOn w:val="1"/>
    <w:link w:val="11"/>
    <w:qFormat/>
    <w:uiPriority w:val="0"/>
    <w:pPr>
      <w:widowControl w:val="0"/>
      <w:shd w:val="clear" w:color="auto" w:fill="auto"/>
      <w:spacing w:after="230"/>
      <w:jc w:val="center"/>
      <w:outlineLvl w:val="2"/>
    </w:pPr>
    <w:rPr>
      <w:rFonts w:ascii="宋体" w:hAnsi="宋体" w:eastAsia="宋体" w:cs="宋体"/>
      <w:sz w:val="40"/>
      <w:szCs w:val="40"/>
      <w:u w:val="none"/>
      <w:shd w:val="clear" w:color="auto" w:fill="auto"/>
      <w:lang w:val="zh-TW" w:eastAsia="zh-TW" w:bidi="zh-TW"/>
    </w:rPr>
  </w:style>
  <w:style w:type="character" w:customStyle="1" w:styleId="13">
    <w:name w:val="Heading #2|1_"/>
    <w:basedOn w:val="4"/>
    <w:link w:val="14"/>
    <w:qFormat/>
    <w:uiPriority w:val="0"/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14">
    <w:name w:val="Heading #2|1"/>
    <w:basedOn w:val="1"/>
    <w:link w:val="13"/>
    <w:qFormat/>
    <w:uiPriority w:val="0"/>
    <w:pPr>
      <w:widowControl w:val="0"/>
      <w:shd w:val="clear" w:color="auto" w:fill="auto"/>
      <w:spacing w:after="120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character" w:customStyle="1" w:styleId="15">
    <w:name w:val="Other|1_"/>
    <w:basedOn w:val="4"/>
    <w:link w:val="16"/>
    <w:qFormat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6">
    <w:name w:val="Other|1"/>
    <w:basedOn w:val="1"/>
    <w:link w:val="15"/>
    <w:qFormat/>
    <w:uiPriority w:val="0"/>
    <w:pPr>
      <w:widowControl w:val="0"/>
      <w:shd w:val="clear" w:color="auto" w:fill="auto"/>
      <w:spacing w:line="434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17">
    <w:name w:val="Other|2_"/>
    <w:basedOn w:val="4"/>
    <w:link w:val="18"/>
    <w:qFormat/>
    <w:uiPriority w:val="0"/>
    <w:rPr>
      <w:rFonts w:ascii="宋体" w:hAnsi="宋体" w:eastAsia="宋体" w:cs="宋体"/>
      <w:sz w:val="17"/>
      <w:szCs w:val="17"/>
      <w:u w:val="none"/>
      <w:shd w:val="clear" w:color="auto" w:fill="auto"/>
      <w:lang w:val="zh-TW" w:eastAsia="zh-TW" w:bidi="zh-TW"/>
    </w:rPr>
  </w:style>
  <w:style w:type="paragraph" w:customStyle="1" w:styleId="18">
    <w:name w:val="Other|2"/>
    <w:basedOn w:val="1"/>
    <w:link w:val="17"/>
    <w:qFormat/>
    <w:uiPriority w:val="0"/>
    <w:pPr>
      <w:widowControl w:val="0"/>
      <w:shd w:val="clear" w:color="auto" w:fill="auto"/>
      <w:jc w:val="center"/>
    </w:pPr>
    <w:rPr>
      <w:rFonts w:ascii="宋体" w:hAnsi="宋体" w:eastAsia="宋体" w:cs="宋体"/>
      <w:sz w:val="17"/>
      <w:szCs w:val="17"/>
      <w:u w:val="none"/>
      <w:shd w:val="clear" w:color="auto" w:fill="auto"/>
      <w:lang w:val="zh-TW" w:eastAsia="zh-TW" w:bidi="zh-TW"/>
    </w:rPr>
  </w:style>
  <w:style w:type="character" w:customStyle="1" w:styleId="19">
    <w:name w:val="Header or footer|1_"/>
    <w:basedOn w:val="4"/>
    <w:link w:val="20"/>
    <w:qFormat/>
    <w:uiPriority w:val="0"/>
    <w:rPr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20">
    <w:name w:val="Header or footer|1"/>
    <w:basedOn w:val="1"/>
    <w:link w:val="19"/>
    <w:qFormat/>
    <w:uiPriority w:val="0"/>
    <w:pPr>
      <w:widowControl w:val="0"/>
      <w:shd w:val="clear" w:color="auto" w:fill="auto"/>
    </w:pPr>
    <w:rPr>
      <w:sz w:val="26"/>
      <w:szCs w:val="2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ScaleCrop>false</ScaleCrop>
  <LinksUpToDate>false</LinksUpToDate>
  <Application>WPS Office_11.8.2.10422_F1E327BC-269C-435d-A152-05C5408002CA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2021-02-06T11:09:00Z</dcterms:created>
  <dc:creator>HSZX-WAQ</dc:creator>
  <cp:lastModifiedBy>dt</cp:lastModifiedBy>
  <cp:lastPrinted>2021-03-03T17:06:00Z</cp:lastPrinted>
  <dcterms:modified xsi:type="dcterms:W3CDTF">2022-08-19T11:40:22Z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