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粗黑宋简体" w:hAnsi="方正粗黑宋简体" w:eastAsia="方正粗黑宋简体"/>
          <w:sz w:val="32"/>
          <w:szCs w:val="32"/>
        </w:rPr>
      </w:pPr>
      <w:r>
        <w:rPr>
          <w:rFonts w:hint="eastAsia" w:ascii="方正粗黑宋简体" w:hAnsi="方正粗黑宋简体" w:eastAsia="方正粗黑宋简体"/>
          <w:sz w:val="32"/>
          <w:szCs w:val="32"/>
        </w:rPr>
        <w:t>大同市成本调查监审局</w:t>
      </w:r>
    </w:p>
    <w:p>
      <w:pPr>
        <w:jc w:val="center"/>
        <w:rPr>
          <w:rFonts w:ascii="方正粗黑宋简体" w:hAnsi="方正粗黑宋简体" w:eastAsia="方正粗黑宋简体"/>
          <w:sz w:val="32"/>
          <w:szCs w:val="32"/>
        </w:rPr>
      </w:pPr>
      <w:r>
        <w:rPr>
          <w:rFonts w:hint="eastAsia" w:ascii="方正粗黑宋简体" w:hAnsi="方正粗黑宋简体" w:eastAsia="方正粗黑宋简体"/>
          <w:sz w:val="32"/>
          <w:szCs w:val="32"/>
        </w:rPr>
        <w:t>202</w:t>
      </w:r>
      <w:r>
        <w:rPr>
          <w:rFonts w:hint="eastAsia" w:ascii="方正粗黑宋简体" w:hAnsi="方正粗黑宋简体" w:eastAsia="方正粗黑宋简体"/>
          <w:sz w:val="32"/>
          <w:szCs w:val="32"/>
          <w:lang w:val="en-US" w:eastAsia="zh-CN"/>
        </w:rPr>
        <w:t>1</w:t>
      </w:r>
      <w:r>
        <w:rPr>
          <w:rFonts w:hint="eastAsia" w:ascii="方正粗黑宋简体" w:hAnsi="方正粗黑宋简体" w:eastAsia="方正粗黑宋简体"/>
          <w:sz w:val="32"/>
          <w:szCs w:val="32"/>
        </w:rPr>
        <w:t>年度部门决算公开</w:t>
      </w:r>
    </w:p>
    <w:sdt>
      <w:sdtPr>
        <w:rPr>
          <w:lang w:val="zh-CN"/>
        </w:rPr>
        <w:id w:val="604326876"/>
        <w:docPartObj>
          <w:docPartGallery w:val="Table of Contents"/>
          <w:docPartUnique/>
        </w:docPartObj>
      </w:sdtPr>
      <w:sdtEndPr>
        <w:rPr>
          <w:rFonts w:asciiTheme="minorHAnsi" w:hAnsiTheme="minorHAnsi" w:eastAsiaTheme="minorEastAsia" w:cstheme="minorBidi"/>
          <w:b w:val="0"/>
          <w:bCs w:val="0"/>
          <w:color w:val="auto"/>
          <w:kern w:val="2"/>
          <w:sz w:val="21"/>
          <w:szCs w:val="22"/>
          <w:lang w:val="en-US"/>
        </w:rPr>
      </w:sdtEndPr>
      <w:sdtContent>
        <w:p>
          <w:pPr>
            <w:pStyle w:val="13"/>
            <w:jc w:val="center"/>
          </w:pPr>
          <w:r>
            <w:rPr>
              <w:lang w:val="zh-CN"/>
            </w:rPr>
            <w:t>目录</w:t>
          </w:r>
        </w:p>
      </w:sdtContent>
    </w:sdt>
    <w:p>
      <w:pPr>
        <w:pStyle w:val="5"/>
        <w:tabs>
          <w:tab w:val="right" w:leader="dot" w:pos="8296"/>
        </w:tabs>
        <w:rPr>
          <w:rFonts w:asciiTheme="minorHAnsi" w:hAnsiTheme="minorHAnsi" w:eastAsiaTheme="minorEastAsia" w:cstheme="minorBidi"/>
          <w:kern w:val="2"/>
          <w:sz w:val="21"/>
          <w:szCs w:val="22"/>
          <w:lang w:val="en-US" w:eastAsia="zh-CN" w:bidi="ar-SA"/>
        </w:rPr>
      </w:pPr>
      <w:r>
        <w:t xml:space="preserve"> </w:t>
      </w:r>
      <w:bookmarkStart w:id="29" w:name="_GoBack"/>
      <w:bookmarkEnd w:id="29"/>
      <w:r>
        <w:fldChar w:fldCharType="begin"/>
      </w:r>
      <w:r>
        <w:instrText xml:space="preserve"> TOC \o "1-3" \h \z \u </w:instrText>
      </w:r>
      <w:r>
        <w:fldChar w:fldCharType="separate"/>
      </w:r>
    </w:p>
    <w:p>
      <w:pPr>
        <w:pStyle w:val="5"/>
        <w:tabs>
          <w:tab w:val="right" w:leader="dot" w:pos="10064"/>
        </w:tabs>
      </w:pPr>
      <w:r>
        <w:fldChar w:fldCharType="begin"/>
      </w:r>
      <w:r>
        <w:instrText xml:space="preserve"> HYPERLINK \l _Toc12296 </w:instrText>
      </w:r>
      <w:r>
        <w:fldChar w:fldCharType="separate"/>
      </w:r>
      <w:r>
        <w:rPr>
          <w:rFonts w:hint="eastAsia"/>
        </w:rPr>
        <w:t xml:space="preserve">第一部分 </w:t>
      </w:r>
      <w:r>
        <w:rPr>
          <w:rFonts w:hint="eastAsia"/>
          <w:szCs w:val="28"/>
        </w:rPr>
        <w:t>概况</w:t>
      </w:r>
      <w:r>
        <w:tab/>
      </w:r>
      <w:r>
        <w:fldChar w:fldCharType="begin"/>
      </w:r>
      <w:r>
        <w:instrText xml:space="preserve"> PAGEREF _Toc12296 \h </w:instrText>
      </w:r>
      <w:r>
        <w:fldChar w:fldCharType="separate"/>
      </w:r>
      <w:r>
        <w:t>2</w:t>
      </w:r>
      <w:r>
        <w:fldChar w:fldCharType="end"/>
      </w:r>
      <w:r>
        <w:fldChar w:fldCharType="end"/>
      </w:r>
    </w:p>
    <w:p>
      <w:pPr>
        <w:pStyle w:val="6"/>
        <w:tabs>
          <w:tab w:val="right" w:leader="dot" w:pos="10064"/>
        </w:tabs>
      </w:pPr>
      <w:r>
        <w:fldChar w:fldCharType="begin"/>
      </w:r>
      <w:r>
        <w:instrText xml:space="preserve"> HYPERLINK \l _Toc16722 </w:instrText>
      </w:r>
      <w:r>
        <w:fldChar w:fldCharType="separate"/>
      </w:r>
      <w:r>
        <w:rPr>
          <w:rFonts w:hint="eastAsia"/>
        </w:rPr>
        <w:t>一、单位</w:t>
      </w:r>
      <w:r>
        <w:t>职责</w:t>
      </w:r>
      <w:r>
        <w:tab/>
      </w:r>
      <w:r>
        <w:fldChar w:fldCharType="begin"/>
      </w:r>
      <w:r>
        <w:instrText xml:space="preserve"> PAGEREF _Toc16722 \h </w:instrText>
      </w:r>
      <w:r>
        <w:fldChar w:fldCharType="separate"/>
      </w:r>
      <w:r>
        <w:t>2</w:t>
      </w:r>
      <w:r>
        <w:fldChar w:fldCharType="end"/>
      </w:r>
      <w:r>
        <w:fldChar w:fldCharType="end"/>
      </w:r>
    </w:p>
    <w:p>
      <w:pPr>
        <w:pStyle w:val="6"/>
        <w:tabs>
          <w:tab w:val="right" w:leader="dot" w:pos="10064"/>
        </w:tabs>
      </w:pPr>
      <w:r>
        <w:fldChar w:fldCharType="begin"/>
      </w:r>
      <w:r>
        <w:instrText xml:space="preserve"> HYPERLINK \l _Toc3054 </w:instrText>
      </w:r>
      <w:r>
        <w:fldChar w:fldCharType="separate"/>
      </w:r>
      <w:r>
        <w:rPr>
          <w:rFonts w:hint="eastAsia"/>
        </w:rPr>
        <w:t>二、机构设置情况</w:t>
      </w:r>
      <w:r>
        <w:tab/>
      </w:r>
      <w:r>
        <w:fldChar w:fldCharType="begin"/>
      </w:r>
      <w:r>
        <w:instrText xml:space="preserve"> PAGEREF _Toc3054 \h </w:instrText>
      </w:r>
      <w:r>
        <w:fldChar w:fldCharType="separate"/>
      </w:r>
      <w:r>
        <w:t>2</w:t>
      </w:r>
      <w:r>
        <w:fldChar w:fldCharType="end"/>
      </w:r>
      <w:r>
        <w:fldChar w:fldCharType="end"/>
      </w:r>
    </w:p>
    <w:p>
      <w:pPr>
        <w:pStyle w:val="5"/>
        <w:tabs>
          <w:tab w:val="right" w:leader="dot" w:pos="10064"/>
        </w:tabs>
      </w:pPr>
      <w:r>
        <w:fldChar w:fldCharType="begin"/>
      </w:r>
      <w:r>
        <w:instrText xml:space="preserve"> HYPERLINK \l _Toc1631 </w:instrText>
      </w:r>
      <w:r>
        <w:fldChar w:fldCharType="separate"/>
      </w:r>
      <w:r>
        <w:t>第二部分</w:t>
      </w:r>
      <w:r>
        <w:rPr>
          <w:rFonts w:hint="eastAsia"/>
        </w:rPr>
        <w:t xml:space="preserve"> 202</w:t>
      </w:r>
      <w:r>
        <w:rPr>
          <w:rFonts w:hint="eastAsia"/>
          <w:lang w:val="en-US" w:eastAsia="zh-CN"/>
        </w:rPr>
        <w:t>1</w:t>
      </w:r>
      <w:r>
        <w:rPr>
          <w:rFonts w:hint="eastAsia"/>
        </w:rPr>
        <w:t>年度部门决算表</w:t>
      </w:r>
      <w:r>
        <w:tab/>
      </w:r>
      <w:r>
        <w:fldChar w:fldCharType="begin"/>
      </w:r>
      <w:r>
        <w:instrText xml:space="preserve"> PAGEREF _Toc1631 \h </w:instrText>
      </w:r>
      <w:r>
        <w:fldChar w:fldCharType="separate"/>
      </w:r>
      <w:r>
        <w:t>3</w:t>
      </w:r>
      <w:r>
        <w:fldChar w:fldCharType="end"/>
      </w:r>
      <w:r>
        <w:fldChar w:fldCharType="end"/>
      </w:r>
    </w:p>
    <w:p>
      <w:pPr>
        <w:pStyle w:val="5"/>
        <w:tabs>
          <w:tab w:val="right" w:leader="dot" w:pos="10064"/>
        </w:tabs>
      </w:pPr>
      <w:r>
        <w:fldChar w:fldCharType="begin"/>
      </w:r>
      <w:r>
        <w:instrText xml:space="preserve"> HYPERLINK \l _Toc18227 </w:instrText>
      </w:r>
      <w:r>
        <w:fldChar w:fldCharType="separate"/>
      </w:r>
      <w:r>
        <w:rPr>
          <w:rFonts w:hint="eastAsia"/>
        </w:rPr>
        <w:t>第三部分 202</w:t>
      </w:r>
      <w:r>
        <w:rPr>
          <w:rFonts w:hint="eastAsia"/>
          <w:lang w:val="en-US" w:eastAsia="zh-CN"/>
        </w:rPr>
        <w:t>1</w:t>
      </w:r>
      <w:r>
        <w:rPr>
          <w:rFonts w:hint="eastAsia"/>
        </w:rPr>
        <w:t>年部门决算情况说明</w:t>
      </w:r>
      <w:r>
        <w:tab/>
      </w:r>
      <w:r>
        <w:fldChar w:fldCharType="begin"/>
      </w:r>
      <w:r>
        <w:instrText xml:space="preserve"> PAGEREF _Toc18227 \h </w:instrText>
      </w:r>
      <w:r>
        <w:fldChar w:fldCharType="separate"/>
      </w:r>
      <w:r>
        <w:t>3</w:t>
      </w:r>
      <w:r>
        <w:fldChar w:fldCharType="end"/>
      </w:r>
      <w:r>
        <w:fldChar w:fldCharType="end"/>
      </w:r>
    </w:p>
    <w:p>
      <w:pPr>
        <w:pStyle w:val="6"/>
        <w:tabs>
          <w:tab w:val="right" w:leader="dot" w:pos="10064"/>
        </w:tabs>
      </w:pPr>
      <w:r>
        <w:fldChar w:fldCharType="begin"/>
      </w:r>
      <w:r>
        <w:instrText xml:space="preserve"> HYPERLINK \l _Toc30577 </w:instrText>
      </w:r>
      <w:r>
        <w:fldChar w:fldCharType="separate"/>
      </w:r>
      <w:r>
        <w:rPr>
          <w:rFonts w:hint="default"/>
        </w:rPr>
        <w:t xml:space="preserve">一、 </w:t>
      </w:r>
      <w:r>
        <w:rPr>
          <w:rFonts w:hint="eastAsia"/>
        </w:rPr>
        <w:t>收入支出决算总体情况说明</w:t>
      </w:r>
      <w:r>
        <w:tab/>
      </w:r>
      <w:r>
        <w:fldChar w:fldCharType="begin"/>
      </w:r>
      <w:r>
        <w:instrText xml:space="preserve"> PAGEREF _Toc30577 \h </w:instrText>
      </w:r>
      <w:r>
        <w:fldChar w:fldCharType="separate"/>
      </w:r>
      <w:r>
        <w:t>3</w:t>
      </w:r>
      <w:r>
        <w:fldChar w:fldCharType="end"/>
      </w:r>
      <w:r>
        <w:fldChar w:fldCharType="end"/>
      </w:r>
    </w:p>
    <w:p>
      <w:pPr>
        <w:pStyle w:val="6"/>
        <w:tabs>
          <w:tab w:val="right" w:leader="dot" w:pos="10064"/>
        </w:tabs>
      </w:pPr>
      <w:r>
        <w:fldChar w:fldCharType="begin"/>
      </w:r>
      <w:r>
        <w:instrText xml:space="preserve"> HYPERLINK \l _Toc17655 </w:instrText>
      </w:r>
      <w:r>
        <w:fldChar w:fldCharType="separate"/>
      </w:r>
      <w:r>
        <w:rPr>
          <w:rFonts w:hint="default"/>
        </w:rPr>
        <w:t xml:space="preserve">二、 </w:t>
      </w:r>
      <w:r>
        <w:t>收入决算情况说明</w:t>
      </w:r>
      <w:r>
        <w:tab/>
      </w:r>
      <w:r>
        <w:fldChar w:fldCharType="begin"/>
      </w:r>
      <w:r>
        <w:instrText xml:space="preserve"> PAGEREF _Toc17655 \h </w:instrText>
      </w:r>
      <w:r>
        <w:fldChar w:fldCharType="separate"/>
      </w:r>
      <w:r>
        <w:t>3</w:t>
      </w:r>
      <w:r>
        <w:fldChar w:fldCharType="end"/>
      </w:r>
      <w:r>
        <w:fldChar w:fldCharType="end"/>
      </w:r>
    </w:p>
    <w:p>
      <w:pPr>
        <w:pStyle w:val="6"/>
        <w:tabs>
          <w:tab w:val="right" w:leader="dot" w:pos="10064"/>
        </w:tabs>
      </w:pPr>
      <w:r>
        <w:fldChar w:fldCharType="begin"/>
      </w:r>
      <w:r>
        <w:instrText xml:space="preserve"> HYPERLINK \l _Toc24151 </w:instrText>
      </w:r>
      <w:r>
        <w:fldChar w:fldCharType="separate"/>
      </w:r>
      <w:r>
        <w:rPr>
          <w:rFonts w:hint="default"/>
        </w:rPr>
        <w:t xml:space="preserve">三、 </w:t>
      </w:r>
      <w:r>
        <w:t>支出决算情况说明</w:t>
      </w:r>
      <w:r>
        <w:tab/>
      </w:r>
      <w:r>
        <w:fldChar w:fldCharType="begin"/>
      </w:r>
      <w:r>
        <w:instrText xml:space="preserve"> PAGEREF _Toc24151 \h </w:instrText>
      </w:r>
      <w:r>
        <w:fldChar w:fldCharType="separate"/>
      </w:r>
      <w:r>
        <w:t>3</w:t>
      </w:r>
      <w:r>
        <w:fldChar w:fldCharType="end"/>
      </w:r>
      <w:r>
        <w:fldChar w:fldCharType="end"/>
      </w:r>
    </w:p>
    <w:p>
      <w:pPr>
        <w:pStyle w:val="6"/>
        <w:tabs>
          <w:tab w:val="right" w:leader="dot" w:pos="10064"/>
        </w:tabs>
      </w:pPr>
      <w:r>
        <w:fldChar w:fldCharType="begin"/>
      </w:r>
      <w:r>
        <w:instrText xml:space="preserve"> HYPERLINK \l _Toc30290 </w:instrText>
      </w:r>
      <w:r>
        <w:fldChar w:fldCharType="separate"/>
      </w:r>
      <w:r>
        <w:rPr>
          <w:rFonts w:hint="default"/>
        </w:rPr>
        <w:t xml:space="preserve">四、 </w:t>
      </w:r>
      <w:r>
        <w:rPr>
          <w:rFonts w:hint="eastAsia"/>
        </w:rPr>
        <w:t>财政拨款收入支出决算总体情况说明</w:t>
      </w:r>
      <w:r>
        <w:tab/>
      </w:r>
      <w:r>
        <w:fldChar w:fldCharType="begin"/>
      </w:r>
      <w:r>
        <w:instrText xml:space="preserve"> PAGEREF _Toc30290 \h </w:instrText>
      </w:r>
      <w:r>
        <w:fldChar w:fldCharType="separate"/>
      </w:r>
      <w:r>
        <w:t>4</w:t>
      </w:r>
      <w:r>
        <w:fldChar w:fldCharType="end"/>
      </w:r>
      <w:r>
        <w:fldChar w:fldCharType="end"/>
      </w:r>
    </w:p>
    <w:p>
      <w:pPr>
        <w:pStyle w:val="6"/>
        <w:tabs>
          <w:tab w:val="right" w:leader="dot" w:pos="10064"/>
        </w:tabs>
      </w:pPr>
      <w:r>
        <w:fldChar w:fldCharType="begin"/>
      </w:r>
      <w:r>
        <w:instrText xml:space="preserve"> HYPERLINK \l _Toc1088 </w:instrText>
      </w:r>
      <w:r>
        <w:fldChar w:fldCharType="separate"/>
      </w:r>
      <w:r>
        <w:rPr>
          <w:rFonts w:hint="default"/>
        </w:rPr>
        <w:t xml:space="preserve">五、 </w:t>
      </w:r>
      <w:r>
        <w:rPr>
          <w:rFonts w:hint="eastAsia"/>
        </w:rPr>
        <w:t>一般公共预算财政拨款支出决算情况说明</w:t>
      </w:r>
      <w:r>
        <w:tab/>
      </w:r>
      <w:r>
        <w:fldChar w:fldCharType="begin"/>
      </w:r>
      <w:r>
        <w:instrText xml:space="preserve"> PAGEREF _Toc1088 \h </w:instrText>
      </w:r>
      <w:r>
        <w:fldChar w:fldCharType="separate"/>
      </w:r>
      <w:r>
        <w:t>4</w:t>
      </w:r>
      <w:r>
        <w:fldChar w:fldCharType="end"/>
      </w:r>
      <w:r>
        <w:fldChar w:fldCharType="end"/>
      </w:r>
    </w:p>
    <w:p>
      <w:pPr>
        <w:pStyle w:val="6"/>
        <w:tabs>
          <w:tab w:val="right" w:leader="dot" w:pos="10064"/>
        </w:tabs>
      </w:pPr>
      <w:r>
        <w:fldChar w:fldCharType="begin"/>
      </w:r>
      <w:r>
        <w:instrText xml:space="preserve"> HYPERLINK \l _Toc4680 </w:instrText>
      </w:r>
      <w:r>
        <w:fldChar w:fldCharType="separate"/>
      </w:r>
      <w:r>
        <w:rPr>
          <w:rFonts w:hint="default"/>
        </w:rPr>
        <w:t xml:space="preserve">六、 </w:t>
      </w:r>
      <w:r>
        <w:rPr>
          <w:rFonts w:hint="eastAsia"/>
        </w:rPr>
        <w:t>一般公共预算财政拨款基本支出决算说明</w:t>
      </w:r>
      <w:r>
        <w:tab/>
      </w:r>
      <w:r>
        <w:fldChar w:fldCharType="begin"/>
      </w:r>
      <w:r>
        <w:instrText xml:space="preserve"> PAGEREF _Toc4680 \h </w:instrText>
      </w:r>
      <w:r>
        <w:fldChar w:fldCharType="separate"/>
      </w:r>
      <w:r>
        <w:t>5</w:t>
      </w:r>
      <w:r>
        <w:fldChar w:fldCharType="end"/>
      </w:r>
      <w:r>
        <w:fldChar w:fldCharType="end"/>
      </w:r>
    </w:p>
    <w:p>
      <w:pPr>
        <w:pStyle w:val="6"/>
        <w:tabs>
          <w:tab w:val="right" w:leader="dot" w:pos="10064"/>
        </w:tabs>
      </w:pPr>
      <w:r>
        <w:fldChar w:fldCharType="begin"/>
      </w:r>
      <w:r>
        <w:instrText xml:space="preserve"> HYPERLINK \l _Toc21611 </w:instrText>
      </w:r>
      <w:r>
        <w:fldChar w:fldCharType="separate"/>
      </w:r>
      <w:r>
        <w:rPr>
          <w:rFonts w:hint="default"/>
          <w:kern w:val="0"/>
        </w:rPr>
        <w:t xml:space="preserve">七、 </w:t>
      </w:r>
      <w:r>
        <w:rPr>
          <w:rFonts w:hint="eastAsia"/>
          <w:kern w:val="0"/>
        </w:rPr>
        <w:t>一般公共预算财政拨款“三公”经费支出决算情况说明</w:t>
      </w:r>
      <w:r>
        <w:tab/>
      </w:r>
      <w:r>
        <w:fldChar w:fldCharType="begin"/>
      </w:r>
      <w:r>
        <w:instrText xml:space="preserve"> PAGEREF _Toc21611 \h </w:instrText>
      </w:r>
      <w:r>
        <w:fldChar w:fldCharType="separate"/>
      </w:r>
      <w:r>
        <w:t>6</w:t>
      </w:r>
      <w:r>
        <w:fldChar w:fldCharType="end"/>
      </w:r>
      <w:r>
        <w:fldChar w:fldCharType="end"/>
      </w:r>
    </w:p>
    <w:p>
      <w:pPr>
        <w:pStyle w:val="6"/>
        <w:tabs>
          <w:tab w:val="right" w:leader="dot" w:pos="10064"/>
        </w:tabs>
      </w:pPr>
      <w:r>
        <w:fldChar w:fldCharType="begin"/>
      </w:r>
      <w:r>
        <w:instrText xml:space="preserve"> HYPERLINK \l _Toc20029 </w:instrText>
      </w:r>
      <w:r>
        <w:fldChar w:fldCharType="separate"/>
      </w:r>
      <w:r>
        <w:rPr>
          <w:rFonts w:hint="default"/>
        </w:rPr>
        <w:t xml:space="preserve">八、 </w:t>
      </w:r>
      <w:r>
        <w:rPr>
          <w:rFonts w:hint="eastAsia"/>
        </w:rPr>
        <w:t>政府性基金预算财政拨款收入支出决算情况说明</w:t>
      </w:r>
      <w:r>
        <w:tab/>
      </w:r>
      <w:r>
        <w:fldChar w:fldCharType="begin"/>
      </w:r>
      <w:r>
        <w:instrText xml:space="preserve"> PAGEREF _Toc20029 \h </w:instrText>
      </w:r>
      <w:r>
        <w:fldChar w:fldCharType="separate"/>
      </w:r>
      <w:r>
        <w:t>6</w:t>
      </w:r>
      <w:r>
        <w:fldChar w:fldCharType="end"/>
      </w:r>
      <w:r>
        <w:fldChar w:fldCharType="end"/>
      </w:r>
    </w:p>
    <w:p>
      <w:pPr>
        <w:pStyle w:val="6"/>
        <w:tabs>
          <w:tab w:val="right" w:leader="dot" w:pos="10064"/>
        </w:tabs>
      </w:pPr>
      <w:r>
        <w:fldChar w:fldCharType="begin"/>
      </w:r>
      <w:r>
        <w:instrText xml:space="preserve"> HYPERLINK \l _Toc20807 </w:instrText>
      </w:r>
      <w:r>
        <w:fldChar w:fldCharType="separate"/>
      </w:r>
      <w:r>
        <w:rPr>
          <w:rFonts w:hint="default"/>
        </w:rPr>
        <w:t xml:space="preserve">九、 </w:t>
      </w:r>
      <w:r>
        <w:t>其他需要说明的情况</w:t>
      </w:r>
      <w:r>
        <w:tab/>
      </w:r>
      <w:r>
        <w:fldChar w:fldCharType="begin"/>
      </w:r>
      <w:r>
        <w:instrText xml:space="preserve"> PAGEREF _Toc20807 \h </w:instrText>
      </w:r>
      <w:r>
        <w:fldChar w:fldCharType="separate"/>
      </w:r>
      <w:r>
        <w:t>6</w:t>
      </w:r>
      <w:r>
        <w:fldChar w:fldCharType="end"/>
      </w:r>
      <w:r>
        <w:fldChar w:fldCharType="end"/>
      </w:r>
    </w:p>
    <w:p>
      <w:pPr>
        <w:pStyle w:val="5"/>
        <w:tabs>
          <w:tab w:val="right" w:leader="dot" w:pos="10064"/>
        </w:tabs>
      </w:pPr>
      <w:r>
        <w:fldChar w:fldCharType="begin"/>
      </w:r>
      <w:r>
        <w:instrText xml:space="preserve"> HYPERLINK \l _Toc8983 </w:instrText>
      </w:r>
      <w:r>
        <w:fldChar w:fldCharType="separate"/>
      </w:r>
      <w:r>
        <w:rPr>
          <w:rFonts w:hint="eastAsia"/>
        </w:rPr>
        <w:t>第四部分 名词解释</w:t>
      </w:r>
      <w:r>
        <w:tab/>
      </w:r>
      <w:r>
        <w:fldChar w:fldCharType="begin"/>
      </w:r>
      <w:r>
        <w:instrText xml:space="preserve"> PAGEREF _Toc8983 \h </w:instrText>
      </w:r>
      <w:r>
        <w:fldChar w:fldCharType="separate"/>
      </w:r>
      <w:r>
        <w:t>12</w:t>
      </w:r>
      <w:r>
        <w:fldChar w:fldCharType="end"/>
      </w:r>
      <w:r>
        <w:fldChar w:fldCharType="end"/>
      </w:r>
    </w:p>
    <w:p>
      <w:pPr>
        <w:tabs>
          <w:tab w:val="right" w:leader="dot" w:pos="8296"/>
        </w:tabs>
      </w:pPr>
      <w:r>
        <w:fldChar w:fldCharType="end"/>
      </w:r>
    </w:p>
    <w:p>
      <w:pPr>
        <w:pStyle w:val="13"/>
        <w:rPr>
          <w:rFonts w:ascii="仿宋" w:hAnsi="仿宋" w:eastAsia="仿宋"/>
        </w:rPr>
      </w:pPr>
      <w:r>
        <w:rPr>
          <w:rFonts w:ascii="仿宋" w:hAnsi="仿宋" w:eastAsia="仿宋"/>
        </w:rPr>
        <w:t xml:space="preserve"> </w:t>
      </w:r>
      <w:r>
        <w:rPr>
          <w:rFonts w:ascii="仿宋" w:hAnsi="仿宋" w:eastAsia="仿宋"/>
        </w:rPr>
        <w:br w:type="page"/>
      </w:r>
    </w:p>
    <w:p>
      <w:pPr>
        <w:pStyle w:val="2"/>
        <w:rPr>
          <w:szCs w:val="28"/>
        </w:rPr>
      </w:pPr>
      <w:bookmarkStart w:id="0" w:name="_Toc12296"/>
      <w:r>
        <w:rPr>
          <w:rFonts w:hint="eastAsia"/>
        </w:rPr>
        <w:t xml:space="preserve">第一部分 </w:t>
      </w:r>
      <w:r>
        <w:rPr>
          <w:rFonts w:hint="eastAsia"/>
          <w:szCs w:val="28"/>
        </w:rPr>
        <w:t>概况</w:t>
      </w:r>
      <w:bookmarkEnd w:id="0"/>
    </w:p>
    <w:p>
      <w:pPr>
        <w:ind w:firstLine="660" w:firstLineChars="220"/>
        <w:rPr>
          <w:rFonts w:ascii="仿宋_GB2312" w:hAnsi="仿宋_GB2312" w:eastAsia="仿宋_GB2312"/>
          <w:bCs/>
          <w:kern w:val="0"/>
          <w:sz w:val="30"/>
          <w:szCs w:val="32"/>
        </w:rPr>
      </w:pPr>
      <w:r>
        <w:rPr>
          <w:rFonts w:hint="eastAsia" w:ascii="仿宋_GB2312" w:hAnsi="仿宋_GB2312" w:eastAsia="仿宋_GB2312"/>
          <w:bCs/>
          <w:kern w:val="0"/>
          <w:sz w:val="30"/>
          <w:szCs w:val="32"/>
        </w:rPr>
        <w:t>大同市成本调查监审局（以下简称“成本局”）为大同市发改委直属机构，正科级建制，编制8人，实有</w:t>
      </w:r>
      <w:r>
        <w:rPr>
          <w:rFonts w:hint="eastAsia" w:ascii="仿宋_GB2312" w:hAnsi="仿宋_GB2312" w:eastAsia="仿宋_GB2312"/>
          <w:bCs/>
          <w:kern w:val="0"/>
          <w:sz w:val="30"/>
          <w:szCs w:val="32"/>
          <w:lang w:val="en-US" w:eastAsia="zh-CN"/>
        </w:rPr>
        <w:t>8</w:t>
      </w:r>
      <w:r>
        <w:rPr>
          <w:rFonts w:hint="eastAsia" w:ascii="仿宋_GB2312" w:hAnsi="仿宋_GB2312" w:eastAsia="仿宋_GB2312"/>
          <w:bCs/>
          <w:kern w:val="0"/>
          <w:sz w:val="30"/>
          <w:szCs w:val="32"/>
        </w:rPr>
        <w:t>人，退休人员1人。</w:t>
      </w:r>
    </w:p>
    <w:p>
      <w:pPr>
        <w:pStyle w:val="3"/>
      </w:pPr>
      <w:bookmarkStart w:id="1" w:name="_Toc70510902"/>
      <w:bookmarkStart w:id="2" w:name="_Toc70362145"/>
      <w:bookmarkStart w:id="3" w:name="_Toc16722"/>
      <w:r>
        <w:rPr>
          <w:rFonts w:hint="eastAsia"/>
        </w:rPr>
        <w:t>一、单位</w:t>
      </w:r>
      <w:r>
        <w:t>职责</w:t>
      </w:r>
      <w:bookmarkEnd w:id="1"/>
      <w:bookmarkEnd w:id="2"/>
      <w:bookmarkEnd w:id="3"/>
    </w:p>
    <w:p>
      <w:pPr>
        <w:pStyle w:val="15"/>
        <w:spacing w:line="600" w:lineRule="exact"/>
        <w:ind w:firstLine="640"/>
        <w:rPr>
          <w:rFonts w:ascii="仿宋_GB2312" w:hAnsi="仿宋_GB2312" w:eastAsia="仿宋_GB2312" w:cs="黑体"/>
          <w:bCs/>
          <w:color w:val="000000"/>
          <w:sz w:val="30"/>
          <w:szCs w:val="32"/>
        </w:rPr>
      </w:pPr>
      <w:r>
        <w:rPr>
          <w:rFonts w:hint="eastAsia" w:ascii="仿宋_GB2312" w:hAnsi="仿宋_GB2312" w:eastAsia="仿宋_GB2312" w:cs="黑体"/>
          <w:bCs/>
          <w:color w:val="000000"/>
          <w:sz w:val="30"/>
          <w:szCs w:val="32"/>
        </w:rPr>
        <w:t>1、负责主要农产品、工业品、服务价格成本和流通费用的调查、汇总、分析，组织指导有关部门、地方开展成本调查工作，发布农产品生产成本收益汇总资料和相关信息；</w:t>
      </w:r>
    </w:p>
    <w:p>
      <w:pPr>
        <w:pStyle w:val="15"/>
        <w:spacing w:line="600" w:lineRule="exact"/>
        <w:ind w:firstLine="640"/>
        <w:rPr>
          <w:rFonts w:ascii="仿宋_GB2312" w:hAnsi="仿宋_GB2312" w:eastAsia="仿宋_GB2312" w:cs="黑体"/>
          <w:bCs/>
          <w:color w:val="000000"/>
          <w:sz w:val="30"/>
          <w:szCs w:val="32"/>
        </w:rPr>
      </w:pPr>
      <w:r>
        <w:rPr>
          <w:rFonts w:hint="eastAsia" w:ascii="仿宋_GB2312" w:hAnsi="仿宋_GB2312" w:eastAsia="仿宋_GB2312" w:cs="黑体"/>
          <w:bCs/>
          <w:color w:val="000000"/>
          <w:sz w:val="30"/>
          <w:szCs w:val="32"/>
        </w:rPr>
        <w:t>2、负责定（调）价（费）的成本监审工作；</w:t>
      </w:r>
    </w:p>
    <w:p>
      <w:pPr>
        <w:pStyle w:val="15"/>
        <w:spacing w:line="600" w:lineRule="exact"/>
        <w:ind w:firstLine="640"/>
      </w:pPr>
      <w:r>
        <w:rPr>
          <w:rFonts w:hint="eastAsia" w:ascii="仿宋_GB2312" w:hAnsi="仿宋_GB2312" w:eastAsia="仿宋_GB2312" w:cs="黑体"/>
          <w:bCs/>
          <w:color w:val="000000"/>
          <w:sz w:val="30"/>
          <w:szCs w:val="32"/>
        </w:rPr>
        <w:t>3、研究有关重要商品和服务价格成本监审工作制度，并组织、指导、实施价格成本调查和监审工作。</w:t>
      </w:r>
    </w:p>
    <w:p>
      <w:pPr>
        <w:pStyle w:val="3"/>
      </w:pPr>
      <w:bookmarkStart w:id="4" w:name="_Toc70510903"/>
      <w:bookmarkStart w:id="5" w:name="_Toc3054"/>
      <w:r>
        <w:rPr>
          <w:rFonts w:hint="eastAsia"/>
        </w:rPr>
        <w:t>二、机构设置情况</w:t>
      </w:r>
      <w:bookmarkEnd w:id="4"/>
      <w:bookmarkEnd w:id="5"/>
    </w:p>
    <w:p>
      <w:pPr>
        <w:ind w:firstLine="567" w:firstLineChars="189"/>
        <w:rPr>
          <w:rFonts w:ascii="仿宋_GB2312" w:hAnsi="仿宋_GB2312" w:eastAsia="仿宋_GB2312"/>
          <w:bCs/>
          <w:kern w:val="0"/>
          <w:sz w:val="30"/>
          <w:szCs w:val="32"/>
        </w:rPr>
      </w:pPr>
      <w:r>
        <w:rPr>
          <w:rFonts w:hint="eastAsia" w:ascii="仿宋_GB2312" w:hAnsi="仿宋_GB2312" w:eastAsia="仿宋_GB2312" w:cs="黑体"/>
          <w:bCs/>
          <w:color w:val="000000"/>
          <w:kern w:val="0"/>
          <w:sz w:val="30"/>
          <w:szCs w:val="32"/>
        </w:rPr>
        <w:t>我单位无内设机构。</w:t>
      </w:r>
    </w:p>
    <w:p>
      <w:pPr>
        <w:widowControl/>
        <w:jc w:val="left"/>
        <w:rPr>
          <w:rFonts w:ascii="仿宋_GB2312" w:hAnsi="仿宋_GB2312" w:eastAsia="仿宋_GB2312"/>
          <w:bCs/>
          <w:kern w:val="0"/>
          <w:sz w:val="30"/>
          <w:szCs w:val="32"/>
        </w:rPr>
      </w:pPr>
      <w:r>
        <w:rPr>
          <w:rFonts w:ascii="仿宋_GB2312" w:hAnsi="仿宋_GB2312" w:eastAsia="仿宋_GB2312"/>
          <w:bCs/>
          <w:kern w:val="0"/>
          <w:sz w:val="30"/>
          <w:szCs w:val="32"/>
        </w:rPr>
        <w:br w:type="page"/>
      </w:r>
    </w:p>
    <w:p>
      <w:pPr>
        <w:pStyle w:val="2"/>
        <w:spacing w:after="0"/>
        <w:rPr>
          <w:rFonts w:hint="eastAsia"/>
        </w:rPr>
      </w:pPr>
      <w:bookmarkStart w:id="6" w:name="_Toc1631"/>
      <w:r>
        <w:t>第二部分</w:t>
      </w:r>
      <w:r>
        <w:rPr>
          <w:rFonts w:hint="eastAsia"/>
        </w:rPr>
        <w:t xml:space="preserve"> 202</w:t>
      </w:r>
      <w:r>
        <w:rPr>
          <w:rFonts w:hint="eastAsia"/>
          <w:lang w:val="en-US" w:eastAsia="zh-CN"/>
        </w:rPr>
        <w:t>1</w:t>
      </w:r>
      <w:r>
        <w:rPr>
          <w:rFonts w:hint="eastAsia"/>
        </w:rPr>
        <w:t>年度部门决算表</w:t>
      </w:r>
      <w:bookmarkEnd w:id="6"/>
    </w:p>
    <w:p>
      <w:r>
        <w:rPr>
          <w:rFonts w:hint="eastAsia"/>
        </w:rPr>
        <w:t>见附件</w:t>
      </w:r>
    </w:p>
    <w:p>
      <w:pPr>
        <w:pStyle w:val="2"/>
      </w:pPr>
      <w:bookmarkStart w:id="7" w:name="_Toc78382362"/>
      <w:bookmarkStart w:id="8" w:name="_Toc18227"/>
      <w:r>
        <w:rPr>
          <w:rFonts w:hint="eastAsia"/>
        </w:rPr>
        <w:t>第三部分 202</w:t>
      </w:r>
      <w:r>
        <w:rPr>
          <w:rFonts w:hint="eastAsia"/>
          <w:lang w:val="en-US" w:eastAsia="zh-CN"/>
        </w:rPr>
        <w:t>1</w:t>
      </w:r>
      <w:r>
        <w:rPr>
          <w:rFonts w:hint="eastAsia"/>
        </w:rPr>
        <w:t>年部门决算情况说明</w:t>
      </w:r>
      <w:bookmarkEnd w:id="7"/>
      <w:bookmarkEnd w:id="8"/>
    </w:p>
    <w:p>
      <w:pPr>
        <w:pStyle w:val="3"/>
        <w:numPr>
          <w:ilvl w:val="0"/>
          <w:numId w:val="1"/>
        </w:numPr>
        <w:ind w:left="0" w:firstLine="0"/>
      </w:pPr>
      <w:bookmarkStart w:id="9" w:name="_Toc78382363"/>
      <w:bookmarkStart w:id="10" w:name="_Toc30577"/>
      <w:r>
        <w:rPr>
          <w:rFonts w:hint="eastAsia"/>
        </w:rPr>
        <w:t>收入支出决算总体情况说明</w:t>
      </w:r>
      <w:bookmarkEnd w:id="9"/>
      <w:bookmarkEnd w:id="10"/>
    </w:p>
    <w:p>
      <w:pPr>
        <w:ind w:firstLine="864" w:firstLineChars="270"/>
        <w:rPr>
          <w:rFonts w:hint="eastAsia"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1</w:t>
      </w:r>
      <w:r>
        <w:rPr>
          <w:rFonts w:hint="eastAsia" w:ascii="仿宋" w:hAnsi="仿宋" w:eastAsia="仿宋"/>
          <w:sz w:val="32"/>
          <w:szCs w:val="32"/>
        </w:rPr>
        <w:t>年度收入总计122.58</w:t>
      </w:r>
      <w:r>
        <w:rPr>
          <w:rFonts w:hint="eastAsia" w:ascii="仿宋" w:hAnsi="仿宋" w:eastAsia="仿宋"/>
          <w:sz w:val="32"/>
          <w:szCs w:val="32"/>
          <w:lang w:val="en-US" w:eastAsia="zh-CN"/>
        </w:rPr>
        <w:t>万</w:t>
      </w:r>
      <w:r>
        <w:rPr>
          <w:rFonts w:ascii="仿宋" w:hAnsi="仿宋" w:eastAsia="仿宋"/>
          <w:sz w:val="32"/>
          <w:szCs w:val="32"/>
        </w:rPr>
        <w:t>元</w:t>
      </w:r>
      <w:r>
        <w:rPr>
          <w:rFonts w:hint="eastAsia" w:ascii="仿宋" w:hAnsi="仿宋" w:eastAsia="仿宋"/>
          <w:sz w:val="32"/>
          <w:szCs w:val="32"/>
          <w:lang w:eastAsia="zh-CN"/>
        </w:rPr>
        <w:t>，</w:t>
      </w:r>
      <w:r>
        <w:rPr>
          <w:rFonts w:hint="eastAsia" w:ascii="仿宋" w:hAnsi="仿宋" w:eastAsia="仿宋"/>
          <w:sz w:val="32"/>
          <w:szCs w:val="32"/>
        </w:rPr>
        <w:t>支出总计125.39</w:t>
      </w:r>
      <w:r>
        <w:rPr>
          <w:rFonts w:hint="eastAsia" w:ascii="仿宋" w:hAnsi="仿宋" w:eastAsia="仿宋"/>
          <w:sz w:val="32"/>
          <w:szCs w:val="32"/>
          <w:lang w:val="en-US" w:eastAsia="zh-CN"/>
        </w:rPr>
        <w:t>万</w:t>
      </w:r>
      <w:r>
        <w:rPr>
          <w:rFonts w:ascii="仿宋" w:hAnsi="仿宋" w:eastAsia="仿宋"/>
          <w:sz w:val="32"/>
          <w:szCs w:val="32"/>
        </w:rPr>
        <w:t>元。与</w:t>
      </w:r>
      <w:r>
        <w:rPr>
          <w:rFonts w:hint="eastAsia" w:ascii="仿宋" w:hAnsi="仿宋" w:eastAsia="仿宋"/>
          <w:sz w:val="32"/>
          <w:szCs w:val="32"/>
          <w:lang w:val="en-US" w:eastAsia="zh-CN"/>
        </w:rPr>
        <w:t>上</w:t>
      </w:r>
      <w:r>
        <w:rPr>
          <w:rFonts w:hint="eastAsia" w:ascii="仿宋" w:hAnsi="仿宋" w:eastAsia="仿宋"/>
          <w:sz w:val="32"/>
          <w:szCs w:val="32"/>
        </w:rPr>
        <w:t>年相比，</w:t>
      </w:r>
      <w:r>
        <w:rPr>
          <w:rFonts w:hint="eastAsia" w:ascii="仿宋" w:hAnsi="仿宋" w:eastAsia="仿宋"/>
          <w:sz w:val="32"/>
          <w:szCs w:val="32"/>
          <w:lang w:val="en-US" w:eastAsia="zh-CN"/>
        </w:rPr>
        <w:t>收入总计增加10.75万元，增长9.61%，</w:t>
      </w:r>
      <w:r>
        <w:rPr>
          <w:rFonts w:hint="eastAsia" w:ascii="仿宋" w:hAnsi="仿宋" w:eastAsia="仿宋"/>
          <w:sz w:val="32"/>
          <w:szCs w:val="32"/>
        </w:rPr>
        <w:t>支出</w:t>
      </w:r>
      <w:r>
        <w:rPr>
          <w:rFonts w:hint="eastAsia" w:ascii="仿宋" w:hAnsi="仿宋" w:eastAsia="仿宋"/>
          <w:sz w:val="32"/>
          <w:szCs w:val="32"/>
          <w:lang w:val="en-US" w:eastAsia="zh-CN"/>
        </w:rPr>
        <w:t>总计增加17.24万</w:t>
      </w:r>
      <w:r>
        <w:rPr>
          <w:rFonts w:ascii="仿宋" w:hAnsi="仿宋" w:eastAsia="仿宋"/>
          <w:sz w:val="32"/>
          <w:szCs w:val="32"/>
        </w:rPr>
        <w:t>元，</w:t>
      </w:r>
      <w:r>
        <w:rPr>
          <w:rFonts w:hint="eastAsia" w:ascii="仿宋" w:hAnsi="仿宋" w:eastAsia="仿宋"/>
          <w:sz w:val="32"/>
          <w:szCs w:val="32"/>
          <w:lang w:val="en-US" w:eastAsia="zh-CN"/>
        </w:rPr>
        <w:t>增长15.94</w:t>
      </w:r>
      <w:r>
        <w:rPr>
          <w:rFonts w:hint="eastAsia" w:ascii="仿宋" w:hAnsi="仿宋" w:eastAsia="仿宋"/>
          <w:sz w:val="32"/>
          <w:szCs w:val="32"/>
        </w:rPr>
        <w:t>%。主要原因</w:t>
      </w:r>
      <w:r>
        <w:rPr>
          <w:rFonts w:hint="eastAsia" w:ascii="仿宋" w:hAnsi="仿宋" w:eastAsia="仿宋"/>
          <w:sz w:val="32"/>
          <w:szCs w:val="32"/>
          <w:lang w:val="en-US" w:eastAsia="zh-CN"/>
        </w:rPr>
        <w:t>是本年新增一人、职工正常调级调档以及收2021年农产品成本调查中央补助经费</w:t>
      </w:r>
      <w:r>
        <w:rPr>
          <w:rFonts w:hint="eastAsia" w:ascii="仿宋" w:hAnsi="仿宋" w:eastAsia="仿宋"/>
          <w:sz w:val="32"/>
          <w:szCs w:val="32"/>
        </w:rPr>
        <w:t>。</w:t>
      </w:r>
    </w:p>
    <w:p>
      <w:pPr>
        <w:pStyle w:val="3"/>
        <w:numPr>
          <w:ilvl w:val="0"/>
          <w:numId w:val="1"/>
        </w:numPr>
        <w:ind w:left="0" w:firstLine="0"/>
      </w:pPr>
      <w:bookmarkStart w:id="11" w:name="_Toc78382364"/>
      <w:bookmarkStart w:id="12" w:name="_Toc17655"/>
      <w:r>
        <w:t>收入决算情况说明</w:t>
      </w:r>
      <w:bookmarkEnd w:id="11"/>
      <w:bookmarkEnd w:id="12"/>
    </w:p>
    <w:p>
      <w:pPr>
        <w:pStyle w:val="10"/>
        <w:ind w:firstLine="659" w:firstLineChars="206"/>
        <w:rPr>
          <w:rFonts w:hint="eastAsia"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1</w:t>
      </w:r>
      <w:r>
        <w:rPr>
          <w:rFonts w:hint="eastAsia" w:ascii="仿宋" w:hAnsi="仿宋" w:eastAsia="仿宋"/>
          <w:sz w:val="32"/>
          <w:szCs w:val="32"/>
        </w:rPr>
        <w:t>年</w:t>
      </w:r>
      <w:r>
        <w:rPr>
          <w:rFonts w:hint="eastAsia" w:ascii="仿宋" w:hAnsi="仿宋" w:eastAsia="仿宋"/>
          <w:sz w:val="32"/>
          <w:szCs w:val="32"/>
          <w:lang w:val="en-US" w:eastAsia="zh-CN"/>
        </w:rPr>
        <w:t>度</w:t>
      </w:r>
      <w:r>
        <w:rPr>
          <w:rFonts w:ascii="仿宋" w:hAnsi="仿宋" w:eastAsia="仿宋"/>
          <w:sz w:val="32"/>
          <w:szCs w:val="32"/>
        </w:rPr>
        <w:t>收入合计</w:t>
      </w:r>
      <w:r>
        <w:rPr>
          <w:rFonts w:hint="eastAsia" w:ascii="仿宋" w:hAnsi="仿宋" w:eastAsia="仿宋"/>
          <w:sz w:val="32"/>
          <w:szCs w:val="32"/>
        </w:rPr>
        <w:t>122.58</w:t>
      </w:r>
      <w:r>
        <w:rPr>
          <w:rFonts w:hint="eastAsia" w:ascii="仿宋" w:hAnsi="仿宋" w:eastAsia="仿宋"/>
          <w:sz w:val="32"/>
          <w:szCs w:val="32"/>
          <w:lang w:val="en-US" w:eastAsia="zh-CN"/>
        </w:rPr>
        <w:t>万</w:t>
      </w:r>
      <w:r>
        <w:rPr>
          <w:rFonts w:ascii="仿宋" w:hAnsi="仿宋" w:eastAsia="仿宋"/>
          <w:sz w:val="32"/>
          <w:szCs w:val="32"/>
        </w:rPr>
        <w:t>元，其中：一般公共预算财政拨款收入</w:t>
      </w:r>
      <w:r>
        <w:rPr>
          <w:rFonts w:hint="eastAsia" w:ascii="仿宋" w:hAnsi="仿宋" w:eastAsia="仿宋"/>
          <w:sz w:val="32"/>
          <w:szCs w:val="32"/>
        </w:rPr>
        <w:t>122.58</w:t>
      </w:r>
      <w:r>
        <w:rPr>
          <w:rFonts w:hint="eastAsia" w:ascii="仿宋" w:hAnsi="仿宋" w:eastAsia="仿宋"/>
          <w:sz w:val="32"/>
          <w:szCs w:val="32"/>
          <w:lang w:val="en-US" w:eastAsia="zh-CN"/>
        </w:rPr>
        <w:t>万</w:t>
      </w:r>
      <w:r>
        <w:rPr>
          <w:rFonts w:ascii="仿宋" w:hAnsi="仿宋" w:eastAsia="仿宋"/>
          <w:sz w:val="32"/>
          <w:szCs w:val="32"/>
        </w:rPr>
        <w:t>元，占</w:t>
      </w:r>
      <w:r>
        <w:rPr>
          <w:rFonts w:hint="eastAsia" w:ascii="仿宋" w:hAnsi="仿宋" w:eastAsia="仿宋"/>
          <w:sz w:val="32"/>
          <w:szCs w:val="32"/>
          <w:lang w:val="en-US" w:eastAsia="zh-CN"/>
        </w:rPr>
        <w:t>比100.00</w:t>
      </w:r>
      <w:r>
        <w:rPr>
          <w:rFonts w:hint="eastAsia" w:ascii="仿宋" w:hAnsi="仿宋" w:eastAsia="仿宋"/>
          <w:sz w:val="32"/>
          <w:szCs w:val="32"/>
        </w:rPr>
        <w:t>%；政府性基金预算财政拨款收入</w:t>
      </w:r>
      <w:r>
        <w:rPr>
          <w:rFonts w:hint="eastAsia" w:ascii="仿宋" w:hAnsi="仿宋" w:eastAsia="仿宋"/>
          <w:sz w:val="32"/>
          <w:szCs w:val="32"/>
          <w:lang w:val="en-US" w:eastAsia="zh-CN"/>
        </w:rPr>
        <w:t>0万元，占比0%；</w:t>
      </w:r>
      <w:r>
        <w:rPr>
          <w:rFonts w:hint="eastAsia" w:ascii="仿宋" w:hAnsi="仿宋" w:eastAsia="仿宋"/>
          <w:sz w:val="32"/>
          <w:szCs w:val="32"/>
        </w:rPr>
        <w:t>上级补助收入0</w:t>
      </w:r>
      <w:r>
        <w:rPr>
          <w:rFonts w:hint="eastAsia" w:ascii="仿宋" w:hAnsi="仿宋" w:eastAsia="仿宋"/>
          <w:sz w:val="32"/>
          <w:szCs w:val="32"/>
          <w:lang w:val="en-US" w:eastAsia="zh-CN"/>
        </w:rPr>
        <w:t>万</w:t>
      </w:r>
      <w:r>
        <w:rPr>
          <w:rFonts w:hint="eastAsia" w:ascii="仿宋" w:hAnsi="仿宋" w:eastAsia="仿宋"/>
          <w:sz w:val="32"/>
          <w:szCs w:val="32"/>
        </w:rPr>
        <w:t>元，占比0%；事业收入0</w:t>
      </w:r>
      <w:r>
        <w:rPr>
          <w:rFonts w:hint="eastAsia" w:ascii="仿宋" w:hAnsi="仿宋" w:eastAsia="仿宋"/>
          <w:sz w:val="32"/>
          <w:szCs w:val="32"/>
          <w:lang w:val="en-US" w:eastAsia="zh-CN"/>
        </w:rPr>
        <w:t>万</w:t>
      </w:r>
      <w:r>
        <w:rPr>
          <w:rFonts w:hint="eastAsia" w:ascii="仿宋" w:hAnsi="仿宋" w:eastAsia="仿宋"/>
          <w:sz w:val="32"/>
          <w:szCs w:val="32"/>
        </w:rPr>
        <w:t>元，占比0%；经营收入0</w:t>
      </w:r>
      <w:r>
        <w:rPr>
          <w:rFonts w:hint="eastAsia" w:ascii="仿宋" w:hAnsi="仿宋" w:eastAsia="仿宋"/>
          <w:sz w:val="32"/>
          <w:szCs w:val="32"/>
          <w:lang w:val="en-US" w:eastAsia="zh-CN"/>
        </w:rPr>
        <w:t>万</w:t>
      </w:r>
      <w:r>
        <w:rPr>
          <w:rFonts w:hint="eastAsia" w:ascii="仿宋" w:hAnsi="仿宋" w:eastAsia="仿宋"/>
          <w:sz w:val="32"/>
          <w:szCs w:val="32"/>
        </w:rPr>
        <w:t>元，占比0%；附属单位上缴收入0</w:t>
      </w:r>
      <w:r>
        <w:rPr>
          <w:rFonts w:hint="eastAsia" w:ascii="仿宋" w:hAnsi="仿宋" w:eastAsia="仿宋"/>
          <w:sz w:val="32"/>
          <w:szCs w:val="32"/>
          <w:lang w:val="en-US" w:eastAsia="zh-CN"/>
        </w:rPr>
        <w:t>万</w:t>
      </w:r>
      <w:r>
        <w:rPr>
          <w:rFonts w:hint="eastAsia" w:ascii="仿宋" w:hAnsi="仿宋" w:eastAsia="仿宋"/>
          <w:sz w:val="32"/>
          <w:szCs w:val="32"/>
        </w:rPr>
        <w:t>元，占比0%；其他收入</w:t>
      </w:r>
      <w:r>
        <w:rPr>
          <w:rFonts w:hint="eastAsia" w:ascii="仿宋" w:hAnsi="仿宋" w:eastAsia="仿宋"/>
          <w:sz w:val="32"/>
          <w:szCs w:val="32"/>
          <w:lang w:val="en-US" w:eastAsia="zh-CN"/>
        </w:rPr>
        <w:t>0万</w:t>
      </w:r>
      <w:r>
        <w:rPr>
          <w:rFonts w:hint="eastAsia" w:ascii="仿宋" w:hAnsi="仿宋" w:eastAsia="仿宋"/>
          <w:sz w:val="32"/>
          <w:szCs w:val="32"/>
        </w:rPr>
        <w:t>元，占比</w:t>
      </w:r>
      <w:r>
        <w:rPr>
          <w:rFonts w:hint="eastAsia" w:ascii="仿宋" w:hAnsi="仿宋" w:eastAsia="仿宋"/>
          <w:sz w:val="32"/>
          <w:szCs w:val="32"/>
          <w:lang w:val="en-US" w:eastAsia="zh-CN"/>
        </w:rPr>
        <w:t>0</w:t>
      </w:r>
      <w:r>
        <w:rPr>
          <w:rFonts w:hint="eastAsia" w:ascii="仿宋" w:hAnsi="仿宋" w:eastAsia="仿宋"/>
          <w:sz w:val="32"/>
          <w:szCs w:val="32"/>
        </w:rPr>
        <w:t>%。</w:t>
      </w:r>
    </w:p>
    <w:p>
      <w:pPr>
        <w:pStyle w:val="3"/>
        <w:numPr>
          <w:ilvl w:val="0"/>
          <w:numId w:val="1"/>
        </w:numPr>
        <w:ind w:left="0" w:firstLine="0"/>
      </w:pPr>
      <w:bookmarkStart w:id="13" w:name="_Toc78382365"/>
      <w:bookmarkStart w:id="14" w:name="_Toc24151"/>
      <w:r>
        <w:t>支出决算情况说明</w:t>
      </w:r>
      <w:bookmarkEnd w:id="13"/>
      <w:bookmarkEnd w:id="14"/>
    </w:p>
    <w:p>
      <w:pPr>
        <w:ind w:firstLine="707" w:firstLineChars="221"/>
        <w:rPr>
          <w:rFonts w:hint="eastAsia"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1</w:t>
      </w:r>
      <w:r>
        <w:rPr>
          <w:rFonts w:hint="eastAsia" w:ascii="仿宋" w:hAnsi="仿宋" w:eastAsia="仿宋"/>
          <w:sz w:val="32"/>
          <w:szCs w:val="32"/>
        </w:rPr>
        <w:t>年</w:t>
      </w:r>
      <w:r>
        <w:rPr>
          <w:rFonts w:hint="eastAsia" w:ascii="仿宋" w:hAnsi="仿宋" w:eastAsia="仿宋"/>
          <w:sz w:val="32"/>
          <w:szCs w:val="32"/>
          <w:lang w:val="en-US" w:eastAsia="zh-CN"/>
        </w:rPr>
        <w:t>度</w:t>
      </w:r>
      <w:r>
        <w:rPr>
          <w:rFonts w:hint="eastAsia" w:ascii="仿宋" w:hAnsi="仿宋" w:eastAsia="仿宋"/>
          <w:sz w:val="32"/>
          <w:szCs w:val="32"/>
        </w:rPr>
        <w:t>支出合计125.39</w:t>
      </w:r>
      <w:r>
        <w:rPr>
          <w:rFonts w:hint="eastAsia" w:ascii="仿宋" w:hAnsi="仿宋" w:eastAsia="仿宋"/>
          <w:sz w:val="32"/>
          <w:szCs w:val="32"/>
          <w:lang w:val="en-US" w:eastAsia="zh-CN"/>
        </w:rPr>
        <w:t>万</w:t>
      </w:r>
      <w:r>
        <w:rPr>
          <w:rFonts w:ascii="仿宋" w:hAnsi="仿宋" w:eastAsia="仿宋"/>
          <w:sz w:val="32"/>
          <w:szCs w:val="32"/>
        </w:rPr>
        <w:t>元，其中：基本支出</w:t>
      </w:r>
      <w:r>
        <w:rPr>
          <w:rFonts w:hint="eastAsia" w:ascii="仿宋" w:hAnsi="仿宋" w:eastAsia="仿宋"/>
          <w:sz w:val="32"/>
          <w:szCs w:val="32"/>
        </w:rPr>
        <w:t>95.82</w:t>
      </w:r>
      <w:r>
        <w:rPr>
          <w:rFonts w:hint="eastAsia" w:ascii="仿宋" w:hAnsi="仿宋" w:eastAsia="仿宋"/>
          <w:sz w:val="32"/>
          <w:szCs w:val="32"/>
          <w:lang w:val="en-US" w:eastAsia="zh-CN"/>
        </w:rPr>
        <w:t>万</w:t>
      </w:r>
      <w:r>
        <w:rPr>
          <w:rFonts w:ascii="仿宋" w:hAnsi="仿宋" w:eastAsia="仿宋"/>
          <w:sz w:val="32"/>
          <w:szCs w:val="32"/>
        </w:rPr>
        <w:t>元，占比</w:t>
      </w:r>
      <w:r>
        <w:rPr>
          <w:rFonts w:hint="eastAsia" w:ascii="仿宋" w:hAnsi="仿宋" w:eastAsia="仿宋"/>
          <w:sz w:val="32"/>
          <w:szCs w:val="32"/>
          <w:lang w:val="en-US" w:eastAsia="zh-CN"/>
        </w:rPr>
        <w:t>76.42</w:t>
      </w:r>
      <w:r>
        <w:rPr>
          <w:rFonts w:hint="eastAsia" w:ascii="仿宋" w:hAnsi="仿宋" w:eastAsia="仿宋"/>
          <w:sz w:val="32"/>
          <w:szCs w:val="32"/>
        </w:rPr>
        <w:t>%；</w:t>
      </w:r>
      <w:r>
        <w:rPr>
          <w:rFonts w:ascii="仿宋" w:hAnsi="仿宋" w:eastAsia="仿宋"/>
          <w:sz w:val="32"/>
          <w:szCs w:val="32"/>
        </w:rPr>
        <w:t>项目支出</w:t>
      </w:r>
      <w:r>
        <w:rPr>
          <w:rFonts w:hint="eastAsia" w:ascii="仿宋" w:hAnsi="仿宋" w:eastAsia="仿宋"/>
          <w:sz w:val="32"/>
          <w:szCs w:val="32"/>
        </w:rPr>
        <w:t>29.57</w:t>
      </w:r>
      <w:r>
        <w:rPr>
          <w:rFonts w:hint="eastAsia" w:ascii="仿宋" w:hAnsi="仿宋" w:eastAsia="仿宋"/>
          <w:sz w:val="32"/>
          <w:szCs w:val="32"/>
          <w:lang w:val="en-US" w:eastAsia="zh-CN"/>
        </w:rPr>
        <w:t>万</w:t>
      </w:r>
      <w:r>
        <w:rPr>
          <w:rFonts w:ascii="仿宋" w:hAnsi="仿宋" w:eastAsia="仿宋"/>
          <w:sz w:val="32"/>
          <w:szCs w:val="32"/>
        </w:rPr>
        <w:t>元</w:t>
      </w:r>
      <w:r>
        <w:rPr>
          <w:rFonts w:hint="eastAsia" w:ascii="仿宋" w:hAnsi="仿宋" w:eastAsia="仿宋"/>
          <w:sz w:val="32"/>
          <w:szCs w:val="32"/>
        </w:rPr>
        <w:t>，占比</w:t>
      </w:r>
      <w:r>
        <w:rPr>
          <w:rFonts w:hint="eastAsia" w:ascii="仿宋" w:hAnsi="仿宋" w:eastAsia="仿宋"/>
          <w:sz w:val="32"/>
          <w:szCs w:val="32"/>
          <w:lang w:val="en-US" w:eastAsia="zh-CN"/>
        </w:rPr>
        <w:t>23.58</w:t>
      </w:r>
      <w:r>
        <w:rPr>
          <w:rFonts w:hint="eastAsia" w:ascii="仿宋" w:hAnsi="仿宋" w:eastAsia="仿宋"/>
          <w:sz w:val="32"/>
          <w:szCs w:val="32"/>
        </w:rPr>
        <w:t>%；上缴上级支出0万元，占比0%；经营支出0万元，占比0%；对附属单位补助支出0万元，占比0%。</w:t>
      </w:r>
    </w:p>
    <w:p>
      <w:pPr>
        <w:pStyle w:val="3"/>
        <w:numPr>
          <w:ilvl w:val="0"/>
          <w:numId w:val="1"/>
        </w:numPr>
        <w:ind w:left="0" w:firstLine="0"/>
      </w:pPr>
      <w:bookmarkStart w:id="15" w:name="_Toc78382366"/>
      <w:bookmarkStart w:id="16" w:name="_Toc30290"/>
      <w:r>
        <w:rPr>
          <w:rFonts w:hint="eastAsia"/>
        </w:rPr>
        <w:t>财政拨款收入支出决算总体情况说明</w:t>
      </w:r>
      <w:bookmarkEnd w:id="15"/>
      <w:bookmarkEnd w:id="16"/>
    </w:p>
    <w:p>
      <w:pPr>
        <w:ind w:firstLine="707" w:firstLineChars="221"/>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1</w:t>
      </w:r>
      <w:r>
        <w:rPr>
          <w:rFonts w:hint="eastAsia" w:ascii="仿宋" w:hAnsi="仿宋" w:eastAsia="仿宋"/>
          <w:sz w:val="32"/>
          <w:szCs w:val="32"/>
        </w:rPr>
        <w:t>年度财政拨款收入</w:t>
      </w:r>
      <w:r>
        <w:rPr>
          <w:rFonts w:hint="eastAsia" w:ascii="仿宋" w:hAnsi="仿宋" w:eastAsia="仿宋"/>
          <w:sz w:val="32"/>
          <w:szCs w:val="32"/>
          <w:lang w:val="en-US" w:eastAsia="zh-CN"/>
        </w:rPr>
        <w:t>总计</w:t>
      </w:r>
      <w:r>
        <w:rPr>
          <w:rFonts w:hint="eastAsia" w:ascii="仿宋" w:hAnsi="仿宋" w:eastAsia="仿宋"/>
          <w:sz w:val="32"/>
          <w:szCs w:val="32"/>
        </w:rPr>
        <w:t>122.58</w:t>
      </w:r>
      <w:r>
        <w:rPr>
          <w:rFonts w:hint="eastAsia" w:ascii="仿宋" w:hAnsi="仿宋" w:eastAsia="仿宋"/>
          <w:sz w:val="32"/>
          <w:szCs w:val="32"/>
          <w:lang w:val="en-US" w:eastAsia="zh-CN"/>
        </w:rPr>
        <w:t>万</w:t>
      </w:r>
      <w:r>
        <w:rPr>
          <w:rFonts w:ascii="仿宋" w:hAnsi="仿宋" w:eastAsia="仿宋"/>
          <w:sz w:val="32"/>
          <w:szCs w:val="32"/>
        </w:rPr>
        <w:t>元</w:t>
      </w:r>
      <w:r>
        <w:rPr>
          <w:rFonts w:hint="eastAsia" w:ascii="仿宋" w:hAnsi="仿宋" w:eastAsia="仿宋"/>
          <w:sz w:val="32"/>
          <w:szCs w:val="32"/>
          <w:lang w:eastAsia="zh-CN"/>
        </w:rPr>
        <w:t>、</w:t>
      </w:r>
      <w:r>
        <w:rPr>
          <w:rFonts w:hint="eastAsia" w:ascii="仿宋" w:hAnsi="仿宋" w:eastAsia="仿宋"/>
          <w:sz w:val="32"/>
          <w:szCs w:val="32"/>
          <w:lang w:val="en-US" w:eastAsia="zh-CN"/>
        </w:rPr>
        <w:t>支出总计122.59万元。与上</w:t>
      </w:r>
      <w:r>
        <w:rPr>
          <w:rFonts w:hint="eastAsia" w:ascii="仿宋" w:hAnsi="仿宋" w:eastAsia="仿宋"/>
          <w:sz w:val="32"/>
          <w:szCs w:val="32"/>
        </w:rPr>
        <w:t>年相比，</w:t>
      </w:r>
      <w:r>
        <w:rPr>
          <w:rFonts w:hint="eastAsia" w:ascii="仿宋" w:hAnsi="仿宋" w:eastAsia="仿宋"/>
          <w:sz w:val="32"/>
          <w:szCs w:val="32"/>
          <w:lang w:val="en-US" w:eastAsia="zh-CN"/>
        </w:rPr>
        <w:t>财政拨款</w:t>
      </w:r>
      <w:r>
        <w:rPr>
          <w:rFonts w:hint="eastAsia" w:ascii="仿宋" w:hAnsi="仿宋" w:eastAsia="仿宋"/>
          <w:sz w:val="32"/>
          <w:szCs w:val="32"/>
        </w:rPr>
        <w:t>收入</w:t>
      </w:r>
      <w:r>
        <w:rPr>
          <w:rFonts w:hint="eastAsia" w:ascii="仿宋" w:hAnsi="仿宋" w:eastAsia="仿宋"/>
          <w:sz w:val="32"/>
          <w:szCs w:val="32"/>
          <w:lang w:val="en-US" w:eastAsia="zh-CN"/>
        </w:rPr>
        <w:t>增加16.07万</w:t>
      </w:r>
      <w:r>
        <w:rPr>
          <w:rFonts w:hint="eastAsia" w:ascii="仿宋" w:hAnsi="仿宋" w:eastAsia="仿宋"/>
          <w:sz w:val="32"/>
          <w:szCs w:val="32"/>
        </w:rPr>
        <w:t>元,</w:t>
      </w:r>
      <w:r>
        <w:rPr>
          <w:rFonts w:hint="eastAsia" w:ascii="仿宋" w:hAnsi="仿宋" w:eastAsia="仿宋"/>
          <w:sz w:val="32"/>
          <w:szCs w:val="32"/>
          <w:lang w:val="en-US" w:eastAsia="zh-CN"/>
        </w:rPr>
        <w:t>增长15.09</w:t>
      </w:r>
      <w:r>
        <w:rPr>
          <w:rFonts w:hint="eastAsia" w:ascii="仿宋" w:hAnsi="仿宋" w:eastAsia="仿宋"/>
          <w:sz w:val="32"/>
          <w:szCs w:val="32"/>
        </w:rPr>
        <w:t>%</w:t>
      </w:r>
      <w:r>
        <w:rPr>
          <w:rFonts w:hint="eastAsia" w:ascii="仿宋" w:hAnsi="仿宋" w:eastAsia="仿宋"/>
          <w:sz w:val="32"/>
          <w:szCs w:val="32"/>
          <w:lang w:eastAsia="zh-CN"/>
        </w:rPr>
        <w:t>，</w:t>
      </w:r>
      <w:r>
        <w:rPr>
          <w:rFonts w:hint="eastAsia" w:ascii="仿宋" w:hAnsi="仿宋" w:eastAsia="仿宋"/>
          <w:sz w:val="32"/>
          <w:szCs w:val="32"/>
        </w:rPr>
        <w:t>财政拨款支出</w:t>
      </w:r>
      <w:r>
        <w:rPr>
          <w:rFonts w:hint="eastAsia" w:ascii="仿宋" w:hAnsi="仿宋" w:eastAsia="仿宋"/>
          <w:sz w:val="32"/>
          <w:szCs w:val="32"/>
          <w:lang w:val="en-US" w:eastAsia="zh-CN"/>
        </w:rPr>
        <w:t>总计增加16.10万</w:t>
      </w:r>
      <w:r>
        <w:rPr>
          <w:rFonts w:hint="eastAsia" w:ascii="仿宋" w:hAnsi="仿宋" w:eastAsia="仿宋"/>
          <w:sz w:val="32"/>
          <w:szCs w:val="32"/>
        </w:rPr>
        <w:t>元，</w:t>
      </w:r>
      <w:r>
        <w:rPr>
          <w:rFonts w:hint="eastAsia" w:ascii="仿宋" w:hAnsi="仿宋" w:eastAsia="仿宋"/>
          <w:sz w:val="32"/>
          <w:szCs w:val="32"/>
          <w:lang w:val="en-US" w:eastAsia="zh-CN"/>
        </w:rPr>
        <w:t>增长15.12</w:t>
      </w:r>
      <w:r>
        <w:rPr>
          <w:rFonts w:hint="eastAsia" w:ascii="仿宋" w:hAnsi="仿宋" w:eastAsia="仿宋"/>
          <w:sz w:val="32"/>
          <w:szCs w:val="32"/>
        </w:rPr>
        <w:t>%。主要原因</w:t>
      </w:r>
      <w:r>
        <w:rPr>
          <w:rFonts w:hint="eastAsia" w:ascii="仿宋" w:hAnsi="仿宋" w:eastAsia="仿宋"/>
          <w:sz w:val="32"/>
          <w:szCs w:val="32"/>
          <w:lang w:val="en-US" w:eastAsia="zh-CN"/>
        </w:rPr>
        <w:t>是本年新增一人、职工正常调级调档以及收2021年农产品成本调查中央补助经费</w:t>
      </w:r>
      <w:r>
        <w:rPr>
          <w:rFonts w:hint="eastAsia" w:ascii="仿宋" w:hAnsi="仿宋" w:eastAsia="仿宋"/>
          <w:sz w:val="32"/>
          <w:szCs w:val="32"/>
        </w:rPr>
        <w:t>。</w:t>
      </w:r>
    </w:p>
    <w:p>
      <w:pPr>
        <w:pStyle w:val="3"/>
        <w:numPr>
          <w:ilvl w:val="0"/>
          <w:numId w:val="1"/>
        </w:numPr>
        <w:ind w:left="0" w:firstLine="0"/>
      </w:pPr>
      <w:bookmarkStart w:id="17" w:name="_Toc78382367"/>
      <w:bookmarkStart w:id="18" w:name="_Toc1088"/>
      <w:r>
        <w:rPr>
          <w:rFonts w:hint="eastAsia"/>
        </w:rPr>
        <w:t>一般公共预算财政拨款支出决算情况说明</w:t>
      </w:r>
      <w:bookmarkEnd w:id="17"/>
      <w:bookmarkEnd w:id="18"/>
    </w:p>
    <w:p>
      <w:pPr>
        <w:ind w:firstLine="707" w:firstLineChars="221"/>
        <w:rPr>
          <w:rFonts w:hint="default" w:ascii="仿宋" w:hAnsi="仿宋" w:eastAsia="仿宋"/>
          <w:sz w:val="32"/>
          <w:szCs w:val="32"/>
          <w:lang w:val="en-US" w:eastAsia="zh-CN"/>
        </w:rPr>
      </w:pPr>
      <w:r>
        <w:rPr>
          <w:rFonts w:hint="eastAsia" w:ascii="仿宋" w:hAnsi="仿宋" w:eastAsia="仿宋"/>
          <w:sz w:val="32"/>
          <w:szCs w:val="32"/>
          <w:lang w:eastAsia="zh-CN"/>
        </w:rPr>
        <w:t>（</w:t>
      </w:r>
      <w:r>
        <w:rPr>
          <w:rFonts w:hint="eastAsia" w:ascii="仿宋" w:hAnsi="仿宋" w:eastAsia="仿宋"/>
          <w:sz w:val="32"/>
          <w:szCs w:val="32"/>
          <w:lang w:val="en-US" w:eastAsia="zh-CN"/>
        </w:rPr>
        <w:t>一</w:t>
      </w:r>
      <w:r>
        <w:rPr>
          <w:rFonts w:hint="eastAsia" w:ascii="仿宋" w:hAnsi="仿宋" w:eastAsia="仿宋"/>
          <w:sz w:val="32"/>
          <w:szCs w:val="32"/>
          <w:lang w:eastAsia="zh-CN"/>
        </w:rPr>
        <w:t>）</w:t>
      </w:r>
      <w:r>
        <w:rPr>
          <w:rFonts w:hint="eastAsia" w:ascii="仿宋" w:hAnsi="仿宋" w:eastAsia="仿宋"/>
          <w:sz w:val="32"/>
          <w:szCs w:val="32"/>
          <w:lang w:val="en-US" w:eastAsia="zh-CN"/>
        </w:rPr>
        <w:t>财政拨款支出决算总体情况</w:t>
      </w:r>
    </w:p>
    <w:p>
      <w:pPr>
        <w:ind w:firstLine="707" w:firstLineChars="221"/>
        <w:rPr>
          <w:rFonts w:hint="eastAsia"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1</w:t>
      </w:r>
      <w:r>
        <w:rPr>
          <w:rFonts w:hint="eastAsia" w:ascii="仿宋" w:hAnsi="仿宋" w:eastAsia="仿宋"/>
          <w:sz w:val="32"/>
          <w:szCs w:val="32"/>
        </w:rPr>
        <w:t>年度财政拨款支出</w:t>
      </w:r>
      <w:r>
        <w:rPr>
          <w:rFonts w:hint="eastAsia" w:ascii="仿宋" w:hAnsi="仿宋" w:eastAsia="仿宋"/>
          <w:sz w:val="32"/>
          <w:szCs w:val="32"/>
          <w:lang w:val="en-US" w:eastAsia="zh-CN"/>
        </w:rPr>
        <w:t>122.59万</w:t>
      </w:r>
      <w:r>
        <w:rPr>
          <w:rFonts w:ascii="仿宋" w:hAnsi="仿宋" w:eastAsia="仿宋"/>
          <w:sz w:val="32"/>
          <w:szCs w:val="32"/>
        </w:rPr>
        <w:t>元，占</w:t>
      </w:r>
      <w:r>
        <w:rPr>
          <w:rFonts w:hint="eastAsia" w:ascii="仿宋" w:hAnsi="仿宋" w:eastAsia="仿宋"/>
          <w:sz w:val="32"/>
          <w:szCs w:val="32"/>
          <w:lang w:val="en-US" w:eastAsia="zh-CN"/>
        </w:rPr>
        <w:t>本年支出合计的97.77</w:t>
      </w:r>
      <w:r>
        <w:rPr>
          <w:rFonts w:hint="eastAsia" w:ascii="仿宋" w:hAnsi="仿宋" w:eastAsia="仿宋"/>
          <w:sz w:val="32"/>
          <w:szCs w:val="32"/>
        </w:rPr>
        <w:t>%。与</w:t>
      </w:r>
      <w:r>
        <w:rPr>
          <w:rFonts w:hint="eastAsia" w:ascii="仿宋" w:hAnsi="仿宋" w:eastAsia="仿宋"/>
          <w:sz w:val="32"/>
          <w:szCs w:val="32"/>
          <w:lang w:val="en-US" w:eastAsia="zh-CN"/>
        </w:rPr>
        <w:t>上</w:t>
      </w:r>
      <w:r>
        <w:rPr>
          <w:rFonts w:hint="eastAsia" w:ascii="仿宋" w:hAnsi="仿宋" w:eastAsia="仿宋"/>
          <w:sz w:val="32"/>
          <w:szCs w:val="32"/>
        </w:rPr>
        <w:t>年相比，</w:t>
      </w:r>
      <w:r>
        <w:rPr>
          <w:rFonts w:hint="eastAsia" w:ascii="仿宋" w:hAnsi="仿宋" w:eastAsia="仿宋"/>
          <w:sz w:val="32"/>
          <w:szCs w:val="32"/>
          <w:lang w:val="en-US" w:eastAsia="zh-CN"/>
        </w:rPr>
        <w:t>财政拨款</w:t>
      </w:r>
      <w:r>
        <w:rPr>
          <w:rFonts w:hint="eastAsia" w:ascii="仿宋" w:hAnsi="仿宋" w:eastAsia="仿宋"/>
          <w:sz w:val="32"/>
          <w:szCs w:val="32"/>
        </w:rPr>
        <w:t>支出</w:t>
      </w:r>
      <w:r>
        <w:rPr>
          <w:rFonts w:hint="eastAsia" w:ascii="仿宋" w:hAnsi="仿宋" w:eastAsia="仿宋"/>
          <w:sz w:val="32"/>
          <w:szCs w:val="32"/>
          <w:lang w:val="en-US" w:eastAsia="zh-CN"/>
        </w:rPr>
        <w:t>增加16.10万</w:t>
      </w:r>
      <w:r>
        <w:rPr>
          <w:rFonts w:hint="eastAsia" w:ascii="仿宋" w:hAnsi="仿宋" w:eastAsia="仿宋"/>
          <w:sz w:val="32"/>
          <w:szCs w:val="32"/>
        </w:rPr>
        <w:t>元</w:t>
      </w:r>
      <w:r>
        <w:rPr>
          <w:rFonts w:hint="eastAsia" w:ascii="仿宋" w:hAnsi="仿宋" w:eastAsia="仿宋"/>
          <w:sz w:val="32"/>
          <w:szCs w:val="32"/>
          <w:lang w:eastAsia="zh-CN"/>
        </w:rPr>
        <w:t>，</w:t>
      </w:r>
      <w:r>
        <w:rPr>
          <w:rFonts w:hint="eastAsia" w:ascii="仿宋" w:hAnsi="仿宋" w:eastAsia="仿宋"/>
          <w:sz w:val="32"/>
          <w:szCs w:val="32"/>
          <w:lang w:val="en-US" w:eastAsia="zh-CN"/>
        </w:rPr>
        <w:t>增长15.12%</w:t>
      </w:r>
      <w:r>
        <w:rPr>
          <w:rFonts w:hint="eastAsia" w:ascii="仿宋" w:hAnsi="仿宋" w:eastAsia="仿宋"/>
          <w:sz w:val="32"/>
          <w:szCs w:val="32"/>
        </w:rPr>
        <w:t>。主要原因</w:t>
      </w:r>
      <w:r>
        <w:rPr>
          <w:rFonts w:hint="eastAsia" w:ascii="仿宋" w:hAnsi="仿宋" w:eastAsia="仿宋"/>
          <w:sz w:val="32"/>
          <w:szCs w:val="32"/>
          <w:lang w:val="en-US" w:eastAsia="zh-CN"/>
        </w:rPr>
        <w:t>是本年新增一人、职工正常调级调档以及收2021年农产品成本调查中央补助经费</w:t>
      </w:r>
      <w:r>
        <w:rPr>
          <w:rFonts w:hint="eastAsia" w:ascii="仿宋" w:hAnsi="仿宋" w:eastAsia="仿宋"/>
          <w:sz w:val="32"/>
          <w:szCs w:val="32"/>
        </w:rPr>
        <w:t>。其中</w:t>
      </w:r>
      <w:r>
        <w:rPr>
          <w:rFonts w:hint="eastAsia" w:ascii="仿宋" w:hAnsi="仿宋" w:eastAsia="仿宋"/>
          <w:sz w:val="32"/>
          <w:szCs w:val="32"/>
          <w:lang w:eastAsia="zh-CN"/>
        </w:rPr>
        <w:t>，</w:t>
      </w:r>
      <w:r>
        <w:rPr>
          <w:rFonts w:hint="eastAsia" w:ascii="仿宋" w:hAnsi="仿宋" w:eastAsia="仿宋"/>
          <w:sz w:val="32"/>
          <w:szCs w:val="32"/>
          <w:lang w:val="en-US" w:eastAsia="zh-CN"/>
        </w:rPr>
        <w:t>人员经费84.90万元，占比69.26%，日常公用经费10.90万元，占比8.89%</w:t>
      </w:r>
      <w:r>
        <w:rPr>
          <w:rFonts w:hint="eastAsia" w:ascii="仿宋" w:hAnsi="仿宋" w:eastAsia="仿宋"/>
          <w:sz w:val="32"/>
          <w:szCs w:val="32"/>
        </w:rPr>
        <w:t>。</w:t>
      </w:r>
    </w:p>
    <w:p>
      <w:pPr>
        <w:numPr>
          <w:ilvl w:val="0"/>
          <w:numId w:val="2"/>
        </w:numPr>
        <w:ind w:firstLine="707" w:firstLineChars="221"/>
        <w:rPr>
          <w:rFonts w:hint="eastAsia" w:ascii="仿宋" w:hAnsi="仿宋" w:eastAsia="仿宋"/>
          <w:sz w:val="32"/>
          <w:szCs w:val="32"/>
          <w:lang w:val="en-US" w:eastAsia="zh-CN"/>
        </w:rPr>
      </w:pPr>
      <w:r>
        <w:rPr>
          <w:rFonts w:hint="eastAsia" w:ascii="仿宋" w:hAnsi="仿宋" w:eastAsia="仿宋"/>
          <w:sz w:val="32"/>
          <w:szCs w:val="32"/>
          <w:lang w:val="en-US" w:eastAsia="zh-CN"/>
        </w:rPr>
        <w:t>财政拨款支出决算结构情况</w:t>
      </w:r>
    </w:p>
    <w:p>
      <w:pPr>
        <w:numPr>
          <w:ilvl w:val="0"/>
          <w:numId w:val="0"/>
        </w:numPr>
        <w:ind w:left="0" w:leftChars="0"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2021年度财政拨款支出122.59万元，主要用于以下方面：一般公共服务（类）支出99.12万元，占比80.85%；社会保障和就业（类）支出11.72万元，占比9.56%；卫生健康（类）支出3.84万元，占比3.13%；住房保障（类）支出7.92万元，占比6.46%。</w:t>
      </w:r>
    </w:p>
    <w:p>
      <w:pPr>
        <w:numPr>
          <w:ilvl w:val="0"/>
          <w:numId w:val="2"/>
        </w:numPr>
        <w:ind w:firstLine="707" w:firstLineChars="221"/>
        <w:rPr>
          <w:rFonts w:hint="default" w:ascii="仿宋" w:hAnsi="仿宋" w:eastAsia="仿宋"/>
          <w:sz w:val="32"/>
          <w:szCs w:val="32"/>
          <w:lang w:val="en-US" w:eastAsia="zh-CN"/>
        </w:rPr>
      </w:pPr>
      <w:r>
        <w:rPr>
          <w:rFonts w:hint="eastAsia" w:ascii="仿宋" w:hAnsi="仿宋" w:eastAsia="仿宋"/>
          <w:sz w:val="32"/>
          <w:szCs w:val="32"/>
          <w:lang w:val="en-US" w:eastAsia="zh-CN"/>
        </w:rPr>
        <w:t>财政拨款支出决算具体情况</w:t>
      </w:r>
    </w:p>
    <w:p>
      <w:pPr>
        <w:numPr>
          <w:ilvl w:val="0"/>
          <w:numId w:val="0"/>
        </w:numPr>
        <w:ind w:left="0" w:leftChars="0"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2021年度财政拨款支出年初预算108.23万元，支出决算122.59万元，完成年初预算的113.27%。其中：</w:t>
      </w:r>
    </w:p>
    <w:p>
      <w:pPr>
        <w:numPr>
          <w:ilvl w:val="0"/>
          <w:numId w:val="0"/>
        </w:numPr>
        <w:ind w:left="0" w:leftChars="0"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一般公共服务（类）年初预算89.20万元，支出决算99.12万元，完成年初预算的111.12%，用于在职人员工资、公用经费及成本调查监审经费等项目经费保障。较上年决算减少1.00万元，下降1%，主要原因是本年在职人员养老保险（单位部分）、医疗保险（单位部分）不再在此科目反映。</w:t>
      </w:r>
    </w:p>
    <w:p>
      <w:pPr>
        <w:numPr>
          <w:ilvl w:val="0"/>
          <w:numId w:val="0"/>
        </w:numPr>
        <w:ind w:left="0" w:leftChars="0"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社会保障和就业（类）年初预算8.58万元，支出决算11.72万元，完成年初预算的136.60%，用于退休人员房租补贴、取暖费以及在职人员养老保险（单位部分）缴纳。较上年决算增加11.18万元，增长2070.37%，主要原因是在职人员养老保险本年归入本科目核算。</w:t>
      </w:r>
    </w:p>
    <w:p>
      <w:pPr>
        <w:numPr>
          <w:ilvl w:val="0"/>
          <w:numId w:val="0"/>
        </w:numPr>
        <w:ind w:left="0" w:leftChars="0"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卫生健康（类）年初预算3.50万元，支出决算3.84万元，完成年初预算的109.71%，用于在职人员医疗保险（单位部分）缴纳。较上年增加3.84万元，主要原因是本年在职人员医疗保险（单位部分）归入此科目核算。</w:t>
      </w:r>
    </w:p>
    <w:p>
      <w:pPr>
        <w:ind w:firstLine="707" w:firstLineChars="221"/>
        <w:rPr>
          <w:rFonts w:ascii="仿宋" w:hAnsi="仿宋" w:eastAsia="仿宋"/>
          <w:sz w:val="32"/>
          <w:szCs w:val="32"/>
        </w:rPr>
      </w:pPr>
      <w:r>
        <w:rPr>
          <w:rFonts w:hint="eastAsia" w:ascii="仿宋" w:hAnsi="仿宋" w:eastAsia="仿宋"/>
          <w:sz w:val="32"/>
          <w:szCs w:val="32"/>
          <w:lang w:val="en-US" w:eastAsia="zh-CN"/>
        </w:rPr>
        <w:t>住房保障（类）年初预算6.95万元，支出决算7.92万元，完成年初预算的113.96%，用于在职人员住房公积金（单位部分）缴纳以及房租补贴发放。较上年决算增加2.08万元，增长35.62%，主要原因是本年新增一人以及在职人员提租补贴并入此科目核算。</w:t>
      </w:r>
    </w:p>
    <w:p>
      <w:pPr>
        <w:pStyle w:val="3"/>
        <w:numPr>
          <w:ilvl w:val="0"/>
          <w:numId w:val="1"/>
        </w:numPr>
        <w:ind w:left="0" w:firstLine="0"/>
      </w:pPr>
      <w:bookmarkStart w:id="19" w:name="_Toc78382368"/>
      <w:bookmarkStart w:id="20" w:name="_Toc4680"/>
      <w:r>
        <w:rPr>
          <w:rFonts w:hint="eastAsia"/>
        </w:rPr>
        <w:t>一般公共预算财政拨款基本支出决算说明</w:t>
      </w:r>
      <w:bookmarkEnd w:id="19"/>
      <w:bookmarkEnd w:id="20"/>
    </w:p>
    <w:p>
      <w:pPr>
        <w:ind w:firstLine="707" w:firstLineChars="221"/>
        <w:rPr>
          <w:rFonts w:ascii="宋体" w:hAnsi="宋体" w:eastAsia="宋体" w:cs="Arial"/>
          <w:kern w:val="0"/>
          <w:sz w:val="20"/>
          <w:szCs w:val="20"/>
        </w:rPr>
      </w:pPr>
      <w:r>
        <w:rPr>
          <w:rFonts w:hint="eastAsia" w:ascii="仿宋" w:hAnsi="仿宋" w:eastAsia="仿宋"/>
          <w:sz w:val="32"/>
          <w:szCs w:val="32"/>
        </w:rPr>
        <w:t>202</w:t>
      </w:r>
      <w:r>
        <w:rPr>
          <w:rFonts w:hint="eastAsia" w:ascii="仿宋" w:hAnsi="仿宋" w:eastAsia="仿宋"/>
          <w:sz w:val="32"/>
          <w:szCs w:val="32"/>
          <w:lang w:val="en-US" w:eastAsia="zh-CN"/>
        </w:rPr>
        <w:t>1</w:t>
      </w:r>
      <w:r>
        <w:rPr>
          <w:rFonts w:hint="eastAsia" w:ascii="仿宋" w:hAnsi="仿宋" w:eastAsia="仿宋"/>
          <w:sz w:val="32"/>
          <w:szCs w:val="32"/>
        </w:rPr>
        <w:t>年度财政拨款基本支出95.80</w:t>
      </w:r>
      <w:r>
        <w:rPr>
          <w:rFonts w:hint="eastAsia" w:ascii="仿宋" w:hAnsi="仿宋" w:eastAsia="仿宋"/>
          <w:sz w:val="32"/>
          <w:szCs w:val="32"/>
          <w:lang w:val="en-US" w:eastAsia="zh-CN"/>
        </w:rPr>
        <w:t>万</w:t>
      </w:r>
      <w:r>
        <w:rPr>
          <w:rFonts w:hint="eastAsia" w:ascii="仿宋" w:hAnsi="仿宋" w:eastAsia="仿宋"/>
          <w:sz w:val="32"/>
          <w:szCs w:val="32"/>
        </w:rPr>
        <w:t>元。其中：人员经费支出84.90</w:t>
      </w:r>
      <w:r>
        <w:rPr>
          <w:rFonts w:hint="eastAsia" w:ascii="仿宋" w:hAnsi="仿宋" w:eastAsia="仿宋"/>
          <w:sz w:val="32"/>
          <w:szCs w:val="32"/>
          <w:lang w:val="en-US" w:eastAsia="zh-CN"/>
        </w:rPr>
        <w:t>万</w:t>
      </w:r>
      <w:r>
        <w:rPr>
          <w:rFonts w:ascii="仿宋" w:hAnsi="仿宋" w:eastAsia="仿宋"/>
          <w:sz w:val="32"/>
          <w:szCs w:val="32"/>
        </w:rPr>
        <w:t>元，主要包括工资福利支出</w:t>
      </w:r>
      <w:r>
        <w:rPr>
          <w:rFonts w:hint="eastAsia" w:ascii="仿宋" w:hAnsi="仿宋" w:eastAsia="仿宋"/>
          <w:sz w:val="32"/>
          <w:szCs w:val="32"/>
        </w:rPr>
        <w:t>84.35</w:t>
      </w:r>
      <w:r>
        <w:rPr>
          <w:rFonts w:hint="eastAsia" w:ascii="仿宋" w:hAnsi="仿宋" w:eastAsia="仿宋"/>
          <w:sz w:val="32"/>
          <w:szCs w:val="32"/>
          <w:lang w:val="en-US" w:eastAsia="zh-CN"/>
        </w:rPr>
        <w:t>万</w:t>
      </w:r>
      <w:r>
        <w:rPr>
          <w:rFonts w:ascii="仿宋" w:hAnsi="仿宋" w:eastAsia="仿宋"/>
          <w:sz w:val="32"/>
          <w:szCs w:val="32"/>
        </w:rPr>
        <w:t>元和对个人的家庭补助支出</w:t>
      </w:r>
      <w:r>
        <w:rPr>
          <w:rFonts w:hint="eastAsia" w:ascii="仿宋" w:hAnsi="仿宋" w:eastAsia="仿宋"/>
          <w:sz w:val="32"/>
          <w:szCs w:val="32"/>
        </w:rPr>
        <w:t>0.54</w:t>
      </w:r>
      <w:r>
        <w:rPr>
          <w:rFonts w:ascii="仿宋" w:hAnsi="仿宋" w:eastAsia="仿宋"/>
          <w:sz w:val="32"/>
          <w:szCs w:val="32"/>
        </w:rPr>
        <w:t>元；公用经费支出</w:t>
      </w:r>
      <w:r>
        <w:rPr>
          <w:rFonts w:hint="eastAsia" w:ascii="仿宋" w:hAnsi="仿宋" w:eastAsia="仿宋"/>
          <w:sz w:val="32"/>
          <w:szCs w:val="32"/>
          <w:lang w:val="en-US" w:eastAsia="zh-CN"/>
        </w:rPr>
        <w:t>10.90万</w:t>
      </w:r>
      <w:r>
        <w:rPr>
          <w:rFonts w:ascii="仿宋" w:hAnsi="仿宋" w:eastAsia="仿宋"/>
          <w:sz w:val="32"/>
          <w:szCs w:val="32"/>
        </w:rPr>
        <w:t>元，主要包括商品和服务支出</w:t>
      </w:r>
      <w:r>
        <w:rPr>
          <w:rFonts w:hint="eastAsia" w:ascii="仿宋" w:hAnsi="仿宋" w:eastAsia="仿宋"/>
          <w:sz w:val="32"/>
          <w:szCs w:val="32"/>
          <w:lang w:val="en-US" w:eastAsia="zh-CN"/>
        </w:rPr>
        <w:t>10.90万元</w:t>
      </w:r>
      <w:r>
        <w:rPr>
          <w:rFonts w:hint="eastAsia" w:ascii="仿宋" w:hAnsi="仿宋" w:eastAsia="仿宋"/>
          <w:sz w:val="32"/>
          <w:szCs w:val="32"/>
        </w:rPr>
        <w:t>。</w:t>
      </w:r>
    </w:p>
    <w:p>
      <w:pPr>
        <w:pStyle w:val="3"/>
        <w:numPr>
          <w:ilvl w:val="0"/>
          <w:numId w:val="1"/>
        </w:numPr>
        <w:ind w:left="0" w:firstLine="0"/>
        <w:rPr>
          <w:kern w:val="0"/>
        </w:rPr>
      </w:pPr>
      <w:bookmarkStart w:id="21" w:name="_Toc78382369"/>
      <w:bookmarkStart w:id="22" w:name="_Toc21611"/>
      <w:r>
        <w:rPr>
          <w:rFonts w:hint="eastAsia"/>
          <w:kern w:val="0"/>
        </w:rPr>
        <w:t>一般公共预算财政拨款“三公”经费支出决算情况说明</w:t>
      </w:r>
      <w:bookmarkEnd w:id="21"/>
      <w:bookmarkEnd w:id="22"/>
    </w:p>
    <w:p>
      <w:pPr>
        <w:ind w:firstLine="707" w:firstLineChars="221"/>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1</w:t>
      </w:r>
      <w:r>
        <w:rPr>
          <w:rFonts w:hint="eastAsia" w:ascii="仿宋" w:hAnsi="仿宋" w:eastAsia="仿宋"/>
          <w:sz w:val="32"/>
          <w:szCs w:val="32"/>
        </w:rPr>
        <w:t>年，我单位无“三公”经费支出。</w:t>
      </w:r>
    </w:p>
    <w:p>
      <w:pPr>
        <w:pStyle w:val="3"/>
        <w:numPr>
          <w:ilvl w:val="0"/>
          <w:numId w:val="1"/>
        </w:numPr>
        <w:ind w:left="0" w:firstLine="0"/>
      </w:pPr>
      <w:bookmarkStart w:id="23" w:name="_Toc78382370"/>
      <w:bookmarkStart w:id="24" w:name="_Toc20029"/>
      <w:r>
        <w:rPr>
          <w:rFonts w:hint="eastAsia"/>
        </w:rPr>
        <w:t>政府性基金预算财政拨款收入支出决算情况说明</w:t>
      </w:r>
      <w:bookmarkEnd w:id="23"/>
      <w:bookmarkEnd w:id="24"/>
    </w:p>
    <w:p>
      <w:pPr>
        <w:pStyle w:val="10"/>
        <w:ind w:left="660" w:firstLine="0" w:firstLineChars="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1</w:t>
      </w:r>
      <w:r>
        <w:rPr>
          <w:rFonts w:hint="eastAsia" w:ascii="仿宋" w:hAnsi="仿宋" w:eastAsia="仿宋"/>
          <w:sz w:val="32"/>
          <w:szCs w:val="32"/>
        </w:rPr>
        <w:t>年政府性基金财政拨款收入0元，支出0元。</w:t>
      </w:r>
    </w:p>
    <w:p>
      <w:pPr>
        <w:pStyle w:val="3"/>
        <w:numPr>
          <w:ilvl w:val="0"/>
          <w:numId w:val="1"/>
        </w:numPr>
        <w:ind w:left="0" w:firstLine="0"/>
      </w:pPr>
      <w:bookmarkStart w:id="25" w:name="_Toc78382371"/>
      <w:bookmarkStart w:id="26" w:name="_Toc20807"/>
      <w:r>
        <w:t>其他需要说明的情况</w:t>
      </w:r>
      <w:bookmarkEnd w:id="25"/>
      <w:bookmarkEnd w:id="26"/>
    </w:p>
    <w:p>
      <w:pPr>
        <w:pStyle w:val="10"/>
        <w:numPr>
          <w:ilvl w:val="0"/>
          <w:numId w:val="3"/>
        </w:numPr>
        <w:ind w:firstLineChars="0"/>
        <w:rPr>
          <w:rFonts w:ascii="仿宋" w:hAnsi="仿宋" w:eastAsia="仿宋"/>
          <w:sz w:val="32"/>
          <w:szCs w:val="32"/>
        </w:rPr>
      </w:pPr>
      <w:r>
        <w:rPr>
          <w:rFonts w:hint="eastAsia" w:ascii="仿宋" w:hAnsi="仿宋" w:eastAsia="仿宋"/>
          <w:sz w:val="32"/>
          <w:szCs w:val="32"/>
        </w:rPr>
        <w:t>机关运行经费支出情况说明</w:t>
      </w:r>
    </w:p>
    <w:p>
      <w:pPr>
        <w:ind w:firstLine="659" w:firstLineChars="206"/>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1</w:t>
      </w:r>
      <w:r>
        <w:rPr>
          <w:rFonts w:hint="eastAsia" w:ascii="仿宋" w:hAnsi="仿宋" w:eastAsia="仿宋"/>
          <w:sz w:val="32"/>
          <w:szCs w:val="32"/>
        </w:rPr>
        <w:t>年机关运行经费支出</w:t>
      </w:r>
      <w:r>
        <w:rPr>
          <w:rFonts w:hint="eastAsia" w:ascii="仿宋" w:hAnsi="仿宋" w:eastAsia="仿宋"/>
          <w:sz w:val="32"/>
          <w:szCs w:val="32"/>
          <w:lang w:val="en-US" w:eastAsia="zh-CN"/>
        </w:rPr>
        <w:t>10.90万</w:t>
      </w:r>
      <w:r>
        <w:rPr>
          <w:rFonts w:ascii="仿宋" w:hAnsi="仿宋" w:eastAsia="仿宋"/>
          <w:sz w:val="32"/>
          <w:szCs w:val="32"/>
        </w:rPr>
        <w:t>元，</w:t>
      </w:r>
      <w:r>
        <w:rPr>
          <w:rFonts w:hint="eastAsia" w:ascii="仿宋" w:hAnsi="仿宋" w:eastAsia="仿宋"/>
          <w:sz w:val="32"/>
          <w:szCs w:val="32"/>
          <w:lang w:val="en-US" w:eastAsia="zh-CN"/>
        </w:rPr>
        <w:t>比上年增加0.86万</w:t>
      </w:r>
      <w:r>
        <w:rPr>
          <w:rFonts w:ascii="仿宋" w:hAnsi="仿宋" w:eastAsia="仿宋"/>
          <w:sz w:val="32"/>
          <w:szCs w:val="32"/>
        </w:rPr>
        <w:t>元，</w:t>
      </w:r>
      <w:r>
        <w:rPr>
          <w:rFonts w:hint="eastAsia" w:ascii="仿宋" w:hAnsi="仿宋" w:eastAsia="仿宋"/>
          <w:sz w:val="32"/>
          <w:szCs w:val="32"/>
          <w:lang w:val="en-US" w:eastAsia="zh-CN"/>
        </w:rPr>
        <w:t>增长8.57%</w:t>
      </w:r>
      <w:r>
        <w:rPr>
          <w:rFonts w:hint="eastAsia" w:ascii="仿宋" w:hAnsi="仿宋" w:eastAsia="仿宋"/>
          <w:sz w:val="32"/>
          <w:szCs w:val="32"/>
        </w:rPr>
        <w:t>。主要原因是机关运行经费为行政单位和参照公务员法管理的事业单位使用一般公共预算安排的基本支出中的日常公用经费支出，本年度</w:t>
      </w:r>
      <w:r>
        <w:rPr>
          <w:rFonts w:hint="eastAsia" w:ascii="仿宋" w:hAnsi="仿宋" w:eastAsia="仿宋"/>
          <w:sz w:val="32"/>
          <w:szCs w:val="32"/>
          <w:lang w:val="en-US" w:eastAsia="zh-CN"/>
        </w:rPr>
        <w:t>人员增加，其他交通费用增加</w:t>
      </w:r>
      <w:r>
        <w:rPr>
          <w:rFonts w:hint="eastAsia" w:ascii="仿宋" w:hAnsi="仿宋" w:eastAsia="仿宋"/>
          <w:sz w:val="32"/>
          <w:szCs w:val="32"/>
        </w:rPr>
        <w:t>。</w:t>
      </w:r>
    </w:p>
    <w:p>
      <w:pPr>
        <w:pStyle w:val="10"/>
        <w:numPr>
          <w:ilvl w:val="0"/>
          <w:numId w:val="3"/>
        </w:numPr>
        <w:ind w:firstLineChars="0"/>
        <w:rPr>
          <w:rFonts w:ascii="仿宋" w:hAnsi="仿宋" w:eastAsia="仿宋"/>
          <w:sz w:val="32"/>
          <w:szCs w:val="32"/>
        </w:rPr>
      </w:pPr>
      <w:r>
        <w:rPr>
          <w:rFonts w:ascii="仿宋" w:hAnsi="仿宋" w:eastAsia="仿宋"/>
          <w:sz w:val="32"/>
          <w:szCs w:val="32"/>
        </w:rPr>
        <w:t>政府采购情况说明</w:t>
      </w:r>
    </w:p>
    <w:p>
      <w:pPr>
        <w:ind w:firstLine="707" w:firstLineChars="221"/>
        <w:rPr>
          <w:rFonts w:hint="default" w:ascii="仿宋" w:hAnsi="仿宋" w:eastAsia="仿宋"/>
          <w:sz w:val="32"/>
          <w:szCs w:val="32"/>
          <w:lang w:val="en-US" w:eastAsia="zh-CN"/>
        </w:rPr>
      </w:pPr>
      <w:r>
        <w:rPr>
          <w:rFonts w:hint="eastAsia" w:ascii="仿宋" w:hAnsi="仿宋" w:eastAsia="仿宋"/>
          <w:sz w:val="32"/>
          <w:szCs w:val="32"/>
        </w:rPr>
        <w:t>202</w:t>
      </w:r>
      <w:r>
        <w:rPr>
          <w:rFonts w:hint="eastAsia" w:ascii="仿宋" w:hAnsi="仿宋" w:eastAsia="仿宋"/>
          <w:sz w:val="32"/>
          <w:szCs w:val="32"/>
          <w:lang w:val="en-US" w:eastAsia="zh-CN"/>
        </w:rPr>
        <w:t>1</w:t>
      </w:r>
      <w:r>
        <w:rPr>
          <w:rFonts w:hint="eastAsia" w:ascii="仿宋" w:hAnsi="仿宋" w:eastAsia="仿宋"/>
          <w:sz w:val="32"/>
          <w:szCs w:val="32"/>
        </w:rPr>
        <w:t>年政府采购</w:t>
      </w:r>
      <w:r>
        <w:rPr>
          <w:rFonts w:hint="eastAsia" w:ascii="仿宋" w:hAnsi="仿宋" w:eastAsia="仿宋"/>
          <w:sz w:val="32"/>
          <w:szCs w:val="32"/>
          <w:lang w:val="en-US" w:eastAsia="zh-CN"/>
        </w:rPr>
        <w:t>0.39万</w:t>
      </w:r>
      <w:r>
        <w:rPr>
          <w:rFonts w:ascii="仿宋" w:hAnsi="仿宋" w:eastAsia="仿宋"/>
          <w:sz w:val="32"/>
          <w:szCs w:val="32"/>
        </w:rPr>
        <w:t>元，其中</w:t>
      </w:r>
      <w:r>
        <w:rPr>
          <w:rFonts w:hint="eastAsia" w:ascii="仿宋" w:hAnsi="仿宋" w:eastAsia="仿宋"/>
          <w:sz w:val="32"/>
          <w:szCs w:val="32"/>
          <w:lang w:eastAsia="zh-CN"/>
        </w:rPr>
        <w:t>：</w:t>
      </w:r>
      <w:r>
        <w:rPr>
          <w:rFonts w:hint="eastAsia" w:ascii="仿宋" w:hAnsi="仿宋" w:eastAsia="仿宋"/>
          <w:sz w:val="32"/>
          <w:szCs w:val="32"/>
          <w:lang w:val="en-US" w:eastAsia="zh-CN"/>
        </w:rPr>
        <w:t>政府采购货物支出18.36万</w:t>
      </w:r>
      <w:r>
        <w:rPr>
          <w:rFonts w:ascii="仿宋" w:hAnsi="仿宋" w:eastAsia="仿宋"/>
          <w:sz w:val="32"/>
          <w:szCs w:val="32"/>
        </w:rPr>
        <w:t>元。</w:t>
      </w:r>
      <w:r>
        <w:rPr>
          <w:rFonts w:hint="eastAsia" w:ascii="仿宋" w:hAnsi="仿宋" w:eastAsia="仿宋"/>
          <w:sz w:val="32"/>
          <w:szCs w:val="32"/>
          <w:lang w:val="en-US" w:eastAsia="zh-CN"/>
        </w:rPr>
        <w:t>政府采购授予中小企业合同金额18.36万元，占政府采购支出总额的100.00%。</w:t>
      </w:r>
    </w:p>
    <w:p>
      <w:pPr>
        <w:pStyle w:val="10"/>
        <w:numPr>
          <w:ilvl w:val="0"/>
          <w:numId w:val="3"/>
        </w:numPr>
        <w:ind w:firstLineChars="0"/>
        <w:rPr>
          <w:rFonts w:ascii="仿宋" w:hAnsi="仿宋" w:eastAsia="仿宋"/>
          <w:sz w:val="32"/>
          <w:szCs w:val="32"/>
        </w:rPr>
      </w:pPr>
      <w:r>
        <w:rPr>
          <w:rFonts w:hint="eastAsia" w:ascii="仿宋" w:hAnsi="仿宋" w:eastAsia="仿宋"/>
          <w:sz w:val="32"/>
          <w:szCs w:val="32"/>
        </w:rPr>
        <w:t>国有资产占用情况说明</w:t>
      </w:r>
    </w:p>
    <w:p>
      <w:pPr>
        <w:ind w:firstLine="707" w:firstLineChars="221"/>
        <w:rPr>
          <w:rFonts w:ascii="仿宋" w:hAnsi="仿宋" w:eastAsia="仿宋"/>
          <w:sz w:val="32"/>
          <w:szCs w:val="32"/>
        </w:rPr>
      </w:pPr>
      <w:r>
        <w:rPr>
          <w:rFonts w:hint="eastAsia" w:ascii="仿宋" w:hAnsi="仿宋" w:eastAsia="仿宋"/>
          <w:sz w:val="32"/>
          <w:szCs w:val="32"/>
        </w:rPr>
        <w:t>截止202</w:t>
      </w:r>
      <w:r>
        <w:rPr>
          <w:rFonts w:hint="eastAsia" w:ascii="仿宋" w:hAnsi="仿宋" w:eastAsia="仿宋"/>
          <w:sz w:val="32"/>
          <w:szCs w:val="32"/>
          <w:lang w:val="en-US" w:eastAsia="zh-CN"/>
        </w:rPr>
        <w:t>1</w:t>
      </w:r>
      <w:r>
        <w:rPr>
          <w:rFonts w:hint="eastAsia" w:ascii="仿宋" w:hAnsi="仿宋" w:eastAsia="仿宋"/>
          <w:sz w:val="32"/>
          <w:szCs w:val="32"/>
        </w:rPr>
        <w:t>年12月31日，我单位无公务用车。无单位50万（含）以上的通用设备及单位100万（含）以上的专用设备。</w:t>
      </w:r>
    </w:p>
    <w:p>
      <w:pPr>
        <w:ind w:firstLine="707" w:firstLineChars="221"/>
        <w:rPr>
          <w:rFonts w:ascii="仿宋_GB2312" w:hAnsi="宋体" w:eastAsia="仿宋_GB2312" w:cs="宋体"/>
          <w:kern w:val="0"/>
          <w:sz w:val="32"/>
          <w:szCs w:val="32"/>
        </w:rPr>
      </w:pPr>
      <w:r>
        <w:rPr>
          <w:rFonts w:hint="eastAsia" w:ascii="仿宋" w:hAnsi="仿宋" w:eastAsia="仿宋"/>
          <w:sz w:val="32"/>
          <w:szCs w:val="32"/>
        </w:rPr>
        <w:t>截止202</w:t>
      </w:r>
      <w:r>
        <w:rPr>
          <w:rFonts w:hint="eastAsia" w:ascii="仿宋" w:hAnsi="仿宋" w:eastAsia="仿宋"/>
          <w:sz w:val="32"/>
          <w:szCs w:val="32"/>
          <w:lang w:val="en-US" w:eastAsia="zh-CN"/>
        </w:rPr>
        <w:t>1</w:t>
      </w:r>
      <w:r>
        <w:rPr>
          <w:rFonts w:hint="eastAsia" w:ascii="仿宋" w:hAnsi="仿宋" w:eastAsia="仿宋"/>
          <w:sz w:val="32"/>
          <w:szCs w:val="32"/>
        </w:rPr>
        <w:t>年12月31日，我单位</w:t>
      </w:r>
      <w:r>
        <w:rPr>
          <w:rFonts w:hint="eastAsia" w:ascii="仿宋_GB2312" w:hAnsi="宋体" w:eastAsia="仿宋_GB2312" w:cs="宋体"/>
          <w:kern w:val="0"/>
          <w:sz w:val="32"/>
          <w:szCs w:val="32"/>
        </w:rPr>
        <w:t>无权属登记房屋，办公用房为市直机关事务管理局统一调配。</w:t>
      </w:r>
    </w:p>
    <w:p>
      <w:pPr>
        <w:ind w:firstLine="707" w:firstLineChars="221"/>
        <w:rPr>
          <w:rFonts w:ascii="仿宋" w:hAnsi="仿宋" w:eastAsia="仿宋"/>
          <w:sz w:val="32"/>
          <w:szCs w:val="32"/>
        </w:rPr>
      </w:pPr>
      <w:r>
        <w:rPr>
          <w:rFonts w:hint="eastAsia" w:ascii="仿宋_GB2312" w:hAnsi="宋体" w:eastAsia="仿宋_GB2312" w:cs="宋体"/>
          <w:kern w:val="0"/>
          <w:sz w:val="32"/>
          <w:szCs w:val="32"/>
        </w:rPr>
        <w:t>截止202</w:t>
      </w:r>
      <w:r>
        <w:rPr>
          <w:rFonts w:hint="eastAsia" w:ascii="仿宋_GB2312" w:hAnsi="宋体" w:eastAsia="仿宋_GB2312" w:cs="宋体"/>
          <w:kern w:val="0"/>
          <w:sz w:val="32"/>
          <w:szCs w:val="32"/>
          <w:lang w:val="en-US" w:eastAsia="zh-CN"/>
        </w:rPr>
        <w:t>1</w:t>
      </w:r>
      <w:r>
        <w:rPr>
          <w:rFonts w:hint="eastAsia" w:ascii="仿宋_GB2312" w:hAnsi="宋体" w:eastAsia="仿宋_GB2312" w:cs="宋体"/>
          <w:kern w:val="0"/>
          <w:sz w:val="32"/>
          <w:szCs w:val="32"/>
        </w:rPr>
        <w:t>年12月31日，我单位除车辆及房屋外，主要资产包括办公家具、电子产品等。</w:t>
      </w:r>
    </w:p>
    <w:p>
      <w:pPr>
        <w:pStyle w:val="10"/>
        <w:numPr>
          <w:ilvl w:val="0"/>
          <w:numId w:val="3"/>
        </w:numPr>
        <w:ind w:firstLineChars="0"/>
        <w:rPr>
          <w:rFonts w:ascii="仿宋" w:hAnsi="仿宋" w:eastAsia="仿宋"/>
          <w:sz w:val="32"/>
          <w:szCs w:val="32"/>
        </w:rPr>
      </w:pPr>
      <w:r>
        <w:rPr>
          <w:rFonts w:ascii="仿宋" w:hAnsi="仿宋" w:eastAsia="仿宋"/>
          <w:sz w:val="32"/>
          <w:szCs w:val="32"/>
        </w:rPr>
        <w:t>预算绩效情况说明</w:t>
      </w:r>
    </w:p>
    <w:p>
      <w:pPr>
        <w:numPr>
          <w:ilvl w:val="0"/>
          <w:numId w:val="4"/>
        </w:numPr>
        <w:ind w:firstLine="659" w:firstLineChars="206"/>
        <w:rPr>
          <w:rFonts w:hint="eastAsia" w:ascii="仿宋" w:hAnsi="仿宋" w:eastAsia="仿宋"/>
          <w:sz w:val="32"/>
          <w:szCs w:val="32"/>
          <w:lang w:val="en-US" w:eastAsia="zh-CN"/>
        </w:rPr>
      </w:pPr>
      <w:r>
        <w:rPr>
          <w:rFonts w:hint="eastAsia" w:ascii="仿宋" w:hAnsi="仿宋" w:eastAsia="仿宋"/>
          <w:sz w:val="32"/>
          <w:szCs w:val="32"/>
          <w:lang w:val="en-US" w:eastAsia="zh-CN"/>
        </w:rPr>
        <w:t>预算绩效管理工作开展情况。</w:t>
      </w:r>
    </w:p>
    <w:p>
      <w:pPr>
        <w:numPr>
          <w:ilvl w:val="0"/>
          <w:numId w:val="0"/>
        </w:numPr>
        <w:ind w:left="0" w:leftChars="0"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根据预算绩效管理要求，我单位组织对2021年度市级财政预算安排的专项资金类五个项目支出全面开展绩效自评，涉及预算资金29.57万元，占一般公共预算项目支出总额的100.00%。</w:t>
      </w:r>
    </w:p>
    <w:p>
      <w:pPr>
        <w:numPr>
          <w:ilvl w:val="0"/>
          <w:numId w:val="0"/>
        </w:numPr>
        <w:ind w:left="0" w:leftChars="0"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我单位未委托第三方机构开展重点绩效评价。</w:t>
      </w:r>
    </w:p>
    <w:p>
      <w:pPr>
        <w:numPr>
          <w:ilvl w:val="0"/>
          <w:numId w:val="4"/>
        </w:numPr>
        <w:ind w:left="0" w:leftChars="0" w:firstLine="659" w:firstLineChars="206"/>
        <w:rPr>
          <w:rFonts w:hint="eastAsia" w:ascii="仿宋" w:hAnsi="仿宋" w:eastAsia="仿宋"/>
          <w:sz w:val="32"/>
          <w:szCs w:val="32"/>
          <w:lang w:val="en-US" w:eastAsia="zh-CN"/>
        </w:rPr>
      </w:pPr>
      <w:r>
        <w:rPr>
          <w:rFonts w:hint="eastAsia" w:ascii="仿宋" w:hAnsi="仿宋" w:eastAsia="仿宋"/>
          <w:sz w:val="32"/>
          <w:szCs w:val="32"/>
          <w:lang w:val="en-US" w:eastAsia="zh-CN"/>
        </w:rPr>
        <w:t>部门决算中项目绩效自评结果。</w:t>
      </w:r>
    </w:p>
    <w:p>
      <w:pPr>
        <w:numPr>
          <w:ilvl w:val="0"/>
          <w:numId w:val="0"/>
        </w:numPr>
        <w:ind w:left="13" w:leftChars="6" w:firstLine="624" w:firstLineChars="195"/>
        <w:rPr>
          <w:rFonts w:hint="eastAsia" w:ascii="仿宋" w:hAnsi="仿宋" w:eastAsia="仿宋"/>
          <w:sz w:val="32"/>
          <w:szCs w:val="32"/>
          <w:lang w:val="en-US" w:eastAsia="zh-CN"/>
        </w:rPr>
      </w:pPr>
      <w:r>
        <w:rPr>
          <w:rFonts w:hint="eastAsia" w:ascii="仿宋" w:hAnsi="仿宋" w:eastAsia="仿宋"/>
          <w:sz w:val="32"/>
          <w:szCs w:val="32"/>
          <w:lang w:val="en-US" w:eastAsia="zh-CN"/>
        </w:rPr>
        <w:t>1、2021年农产品成本调查中央补助经费项目绩效自评综述：根据年初设定的绩效目标，项目自评得分为98分。全年预算数为2.9万元，执行数为2.31万元，完成预算的79.66%。项目绩效目标完成情况：通过项目的实施，为农业政策制定提供数据支撑；提高价格决策的科学性和透明度，为国家制定价格政策及政府调定价提供可靠的依据。</w:t>
      </w:r>
    </w:p>
    <w:tbl>
      <w:tblPr>
        <w:tblStyle w:val="7"/>
        <w:tblW w:w="5000" w:type="pct"/>
        <w:jc w:val="center"/>
        <w:tblLayout w:type="autofit"/>
        <w:tblCellMar>
          <w:top w:w="0" w:type="dxa"/>
          <w:left w:w="108" w:type="dxa"/>
          <w:bottom w:w="0" w:type="dxa"/>
          <w:right w:w="108" w:type="dxa"/>
        </w:tblCellMar>
      </w:tblPr>
      <w:tblGrid>
        <w:gridCol w:w="657"/>
        <w:gridCol w:w="1097"/>
        <w:gridCol w:w="72"/>
        <w:gridCol w:w="1172"/>
        <w:gridCol w:w="818"/>
        <w:gridCol w:w="1269"/>
        <w:gridCol w:w="319"/>
        <w:gridCol w:w="1061"/>
        <w:gridCol w:w="952"/>
        <w:gridCol w:w="210"/>
        <w:gridCol w:w="424"/>
        <w:gridCol w:w="370"/>
        <w:gridCol w:w="156"/>
        <w:gridCol w:w="796"/>
        <w:gridCol w:w="907"/>
      </w:tblGrid>
      <w:tr>
        <w:tblPrEx>
          <w:tblCellMar>
            <w:top w:w="0" w:type="dxa"/>
            <w:left w:w="108" w:type="dxa"/>
            <w:bottom w:w="0" w:type="dxa"/>
            <w:right w:w="108" w:type="dxa"/>
          </w:tblCellMar>
        </w:tblPrEx>
        <w:trPr>
          <w:trHeight w:val="529" w:hRule="exact"/>
          <w:jc w:val="center"/>
        </w:trPr>
        <w:tc>
          <w:tcPr>
            <w:tcW w:w="5000" w:type="pct"/>
            <w:gridSpan w:val="15"/>
            <w:tcBorders>
              <w:top w:val="nil"/>
              <w:left w:val="nil"/>
              <w:bottom w:val="nil"/>
              <w:right w:val="nil"/>
            </w:tcBorders>
            <w:vAlign w:val="center"/>
          </w:tcPr>
          <w:p>
            <w:pPr>
              <w:widowControl/>
              <w:spacing w:line="320" w:lineRule="exact"/>
              <w:jc w:val="center"/>
              <w:rPr>
                <w:rFonts w:ascii="宋体" w:hAnsi="宋体" w:eastAsia="宋体" w:cs="宋体"/>
                <w:b/>
                <w:bCs/>
                <w:kern w:val="0"/>
                <w:sz w:val="32"/>
                <w:szCs w:val="32"/>
              </w:rPr>
            </w:pPr>
            <w:r>
              <w:rPr>
                <w:rFonts w:hint="eastAsia" w:ascii="华文中宋" w:hAnsi="华文中宋" w:eastAsia="华文中宋" w:cs="华文中宋"/>
                <w:b/>
                <w:bCs/>
                <w:kern w:val="0"/>
                <w:sz w:val="36"/>
                <w:szCs w:val="36"/>
              </w:rPr>
              <w:t>项目支出绩效自评表</w:t>
            </w:r>
          </w:p>
        </w:tc>
      </w:tr>
      <w:tr>
        <w:tblPrEx>
          <w:tblCellMar>
            <w:top w:w="0" w:type="dxa"/>
            <w:left w:w="108" w:type="dxa"/>
            <w:bottom w:w="0" w:type="dxa"/>
            <w:right w:w="108" w:type="dxa"/>
          </w:tblCellMar>
        </w:tblPrEx>
        <w:trPr>
          <w:trHeight w:val="201" w:hRule="atLeast"/>
          <w:jc w:val="center"/>
        </w:trPr>
        <w:tc>
          <w:tcPr>
            <w:tcW w:w="5000" w:type="pct"/>
            <w:gridSpan w:val="15"/>
            <w:tcBorders>
              <w:top w:val="nil"/>
              <w:left w:val="nil"/>
              <w:bottom w:val="nil"/>
              <w:right w:val="nil"/>
            </w:tcBorders>
          </w:tcPr>
          <w:p>
            <w:pPr>
              <w:widowControl/>
              <w:rPr>
                <w:rFonts w:ascii="宋体" w:hAnsi="宋体" w:eastAsia="宋体" w:cs="宋体"/>
                <w:kern w:val="0"/>
                <w:sz w:val="22"/>
                <w:szCs w:val="22"/>
              </w:rPr>
            </w:pPr>
            <w:r>
              <w:rPr>
                <w:rFonts w:hint="eastAsia" w:ascii="宋体" w:hAnsi="宋体" w:eastAsia="宋体" w:cs="宋体"/>
                <w:kern w:val="0"/>
                <w:sz w:val="22"/>
                <w:szCs w:val="22"/>
              </w:rPr>
              <w:t>填列单位（公章）：                （2021年度）</w:t>
            </w:r>
          </w:p>
        </w:tc>
      </w:tr>
      <w:tr>
        <w:tblPrEx>
          <w:tblCellMar>
            <w:top w:w="0" w:type="dxa"/>
            <w:left w:w="108" w:type="dxa"/>
            <w:bottom w:w="0" w:type="dxa"/>
            <w:right w:w="108" w:type="dxa"/>
          </w:tblCellMar>
        </w:tblPrEx>
        <w:trPr>
          <w:trHeight w:val="320" w:hRule="exact"/>
          <w:jc w:val="center"/>
        </w:trPr>
        <w:tc>
          <w:tcPr>
            <w:tcW w:w="854"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项目名称</w:t>
            </w:r>
          </w:p>
        </w:tc>
        <w:tc>
          <w:tcPr>
            <w:tcW w:w="4145" w:type="pct"/>
            <w:gridSpan w:val="1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2021年农产品成本调查中央补助经费</w:t>
            </w:r>
          </w:p>
        </w:tc>
      </w:tr>
      <w:tr>
        <w:tblPrEx>
          <w:tblCellMar>
            <w:top w:w="0" w:type="dxa"/>
            <w:left w:w="108" w:type="dxa"/>
            <w:bottom w:w="0" w:type="dxa"/>
            <w:right w:w="108" w:type="dxa"/>
          </w:tblCellMar>
        </w:tblPrEx>
        <w:trPr>
          <w:trHeight w:val="380" w:hRule="exact"/>
          <w:jc w:val="center"/>
        </w:trPr>
        <w:tc>
          <w:tcPr>
            <w:tcW w:w="854"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主管部门</w:t>
            </w:r>
          </w:p>
        </w:tc>
        <w:tc>
          <w:tcPr>
            <w:tcW w:w="2291" w:type="pct"/>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大同市发展和改革委员会</w:t>
            </w:r>
          </w:p>
        </w:tc>
        <w:tc>
          <w:tcPr>
            <w:tcW w:w="565"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实施单位</w:t>
            </w:r>
          </w:p>
        </w:tc>
        <w:tc>
          <w:tcPr>
            <w:tcW w:w="1288" w:type="pct"/>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大同市成本调查监审局</w:t>
            </w:r>
          </w:p>
        </w:tc>
      </w:tr>
      <w:tr>
        <w:tblPrEx>
          <w:tblCellMar>
            <w:top w:w="0" w:type="dxa"/>
            <w:left w:w="108" w:type="dxa"/>
            <w:bottom w:w="0" w:type="dxa"/>
            <w:right w:w="108" w:type="dxa"/>
          </w:tblCellMar>
        </w:tblPrEx>
        <w:trPr>
          <w:trHeight w:val="300" w:hRule="exact"/>
          <w:jc w:val="center"/>
        </w:trPr>
        <w:tc>
          <w:tcPr>
            <w:tcW w:w="854"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rPr>
              <w:t>项目资金</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（万元）</w:t>
            </w:r>
          </w:p>
        </w:tc>
        <w:tc>
          <w:tcPr>
            <w:tcW w:w="1003" w:type="pct"/>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17"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年初预算数</w:t>
            </w:r>
          </w:p>
        </w:tc>
        <w:tc>
          <w:tcPr>
            <w:tcW w:w="670"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全年预算数</w:t>
            </w:r>
          </w:p>
        </w:tc>
        <w:tc>
          <w:tcPr>
            <w:tcW w:w="565"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全年执行数</w:t>
            </w:r>
          </w:p>
        </w:tc>
        <w:tc>
          <w:tcPr>
            <w:tcW w:w="386"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463"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执行率</w:t>
            </w:r>
          </w:p>
        </w:tc>
        <w:tc>
          <w:tcPr>
            <w:tcW w:w="439"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854"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03" w:type="pct"/>
            <w:gridSpan w:val="3"/>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年度资金总额</w:t>
            </w:r>
          </w:p>
        </w:tc>
        <w:tc>
          <w:tcPr>
            <w:tcW w:w="617"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2.9</w:t>
            </w:r>
          </w:p>
        </w:tc>
        <w:tc>
          <w:tcPr>
            <w:tcW w:w="670"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2.9</w:t>
            </w:r>
          </w:p>
        </w:tc>
        <w:tc>
          <w:tcPr>
            <w:tcW w:w="565"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2.31</w:t>
            </w:r>
          </w:p>
        </w:tc>
        <w:tc>
          <w:tcPr>
            <w:tcW w:w="386"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463"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79.66%</w:t>
            </w:r>
          </w:p>
        </w:tc>
        <w:tc>
          <w:tcPr>
            <w:tcW w:w="439"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9</w:t>
            </w:r>
          </w:p>
        </w:tc>
      </w:tr>
      <w:tr>
        <w:tblPrEx>
          <w:tblCellMar>
            <w:top w:w="0" w:type="dxa"/>
            <w:left w:w="108" w:type="dxa"/>
            <w:bottom w:w="0" w:type="dxa"/>
            <w:right w:w="108" w:type="dxa"/>
          </w:tblCellMar>
        </w:tblPrEx>
        <w:trPr>
          <w:trHeight w:val="300" w:hRule="exact"/>
          <w:jc w:val="center"/>
        </w:trPr>
        <w:tc>
          <w:tcPr>
            <w:tcW w:w="854"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03" w:type="pct"/>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其中：当年财政拨款</w:t>
            </w:r>
          </w:p>
        </w:tc>
        <w:tc>
          <w:tcPr>
            <w:tcW w:w="617"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2.9</w:t>
            </w:r>
          </w:p>
        </w:tc>
        <w:tc>
          <w:tcPr>
            <w:tcW w:w="670"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2.9</w:t>
            </w:r>
          </w:p>
        </w:tc>
        <w:tc>
          <w:tcPr>
            <w:tcW w:w="565"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2.31</w:t>
            </w:r>
          </w:p>
        </w:tc>
        <w:tc>
          <w:tcPr>
            <w:tcW w:w="386"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463"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79.66%</w:t>
            </w:r>
          </w:p>
        </w:tc>
        <w:tc>
          <w:tcPr>
            <w:tcW w:w="439"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00" w:hRule="exact"/>
          <w:jc w:val="center"/>
        </w:trPr>
        <w:tc>
          <w:tcPr>
            <w:tcW w:w="854"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03" w:type="pct"/>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617"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70"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65"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386"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463"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439"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00" w:hRule="exact"/>
          <w:jc w:val="center"/>
        </w:trPr>
        <w:tc>
          <w:tcPr>
            <w:tcW w:w="854"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03" w:type="pct"/>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617"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70"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65"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386"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463"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439"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00" w:hRule="exact"/>
          <w:jc w:val="center"/>
        </w:trPr>
        <w:tc>
          <w:tcPr>
            <w:tcW w:w="320" w:type="pct"/>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年度总体目标</w:t>
            </w:r>
          </w:p>
        </w:tc>
        <w:tc>
          <w:tcPr>
            <w:tcW w:w="2825" w:type="pct"/>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预期目标</w:t>
            </w:r>
          </w:p>
        </w:tc>
        <w:tc>
          <w:tcPr>
            <w:tcW w:w="1854" w:type="pct"/>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320"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825" w:type="pct"/>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5"/>
                <w:szCs w:val="15"/>
              </w:rPr>
            </w:pPr>
            <w:r>
              <w:rPr>
                <w:rFonts w:hint="eastAsia" w:ascii="宋体" w:hAnsi="宋体" w:eastAsia="宋体" w:cs="宋体"/>
                <w:kern w:val="0"/>
                <w:sz w:val="15"/>
                <w:szCs w:val="15"/>
              </w:rPr>
              <w:t>通过项目的实施，为农业政策制定提供数据支撑；提高价格决策的科学性和透明度，为国家制定价格政策及政府调定价提供可靠的依据。</w:t>
            </w:r>
          </w:p>
          <w:p>
            <w:pPr>
              <w:widowControl/>
              <w:spacing w:line="240" w:lineRule="exact"/>
              <w:jc w:val="center"/>
              <w:rPr>
                <w:rFonts w:ascii="宋体" w:hAnsi="宋体" w:eastAsia="宋体" w:cs="宋体"/>
                <w:kern w:val="0"/>
                <w:sz w:val="15"/>
                <w:szCs w:val="15"/>
              </w:rPr>
            </w:pPr>
          </w:p>
        </w:tc>
        <w:tc>
          <w:tcPr>
            <w:tcW w:w="1854" w:type="pct"/>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已完成年初预期目标</w:t>
            </w:r>
          </w:p>
        </w:tc>
      </w:tr>
      <w:tr>
        <w:tblPrEx>
          <w:tblCellMar>
            <w:top w:w="0" w:type="dxa"/>
            <w:left w:w="108" w:type="dxa"/>
            <w:bottom w:w="0" w:type="dxa"/>
            <w:right w:w="108" w:type="dxa"/>
          </w:tblCellMar>
        </w:tblPrEx>
        <w:trPr>
          <w:trHeight w:val="533" w:hRule="exact"/>
          <w:jc w:val="center"/>
        </w:trPr>
        <w:tc>
          <w:tcPr>
            <w:tcW w:w="320" w:type="pct"/>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rPr>
              <w:t>绩</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rPr>
              <w:t>效</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rPr>
              <w:t>指</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标</w:t>
            </w:r>
          </w:p>
        </w:tc>
        <w:tc>
          <w:tcPr>
            <w:tcW w:w="534"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一级指标</w:t>
            </w:r>
          </w:p>
        </w:tc>
        <w:tc>
          <w:tcPr>
            <w:tcW w:w="605"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二级指标</w:t>
            </w:r>
          </w:p>
        </w:tc>
        <w:tc>
          <w:tcPr>
            <w:tcW w:w="1170" w:type="pct"/>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三级指标</w:t>
            </w:r>
          </w:p>
        </w:tc>
        <w:tc>
          <w:tcPr>
            <w:tcW w:w="516"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指标值</w:t>
            </w:r>
          </w:p>
        </w:tc>
        <w:tc>
          <w:tcPr>
            <w:tcW w:w="463"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完成值</w:t>
            </w:r>
          </w:p>
        </w:tc>
        <w:tc>
          <w:tcPr>
            <w:tcW w:w="308"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256"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c>
          <w:tcPr>
            <w:tcW w:w="825"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CellMar>
            <w:top w:w="0" w:type="dxa"/>
            <w:left w:w="108" w:type="dxa"/>
            <w:bottom w:w="0" w:type="dxa"/>
            <w:right w:w="108" w:type="dxa"/>
          </w:tblCellMar>
        </w:tblPrEx>
        <w:trPr>
          <w:trHeight w:val="579" w:hRule="exact"/>
          <w:jc w:val="center"/>
        </w:trPr>
        <w:tc>
          <w:tcPr>
            <w:tcW w:w="320"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34" w:type="pct"/>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产出指标</w:t>
            </w:r>
          </w:p>
        </w:tc>
        <w:tc>
          <w:tcPr>
            <w:tcW w:w="605" w:type="pct"/>
            <w:gridSpan w:val="2"/>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数量指标</w:t>
            </w:r>
          </w:p>
        </w:tc>
        <w:tc>
          <w:tcPr>
            <w:tcW w:w="1170" w:type="pct"/>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中央按标准拨付</w:t>
            </w:r>
          </w:p>
        </w:tc>
        <w:tc>
          <w:tcPr>
            <w:tcW w:w="516"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足额</w:t>
            </w:r>
          </w:p>
        </w:tc>
        <w:tc>
          <w:tcPr>
            <w:tcW w:w="463"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79.66%</w:t>
            </w:r>
          </w:p>
        </w:tc>
        <w:tc>
          <w:tcPr>
            <w:tcW w:w="308"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256"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9</w:t>
            </w:r>
          </w:p>
        </w:tc>
        <w:tc>
          <w:tcPr>
            <w:tcW w:w="825"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未全部支付，结余结转</w:t>
            </w:r>
          </w:p>
        </w:tc>
      </w:tr>
      <w:tr>
        <w:tblPrEx>
          <w:tblCellMar>
            <w:top w:w="0" w:type="dxa"/>
            <w:left w:w="108" w:type="dxa"/>
            <w:bottom w:w="0" w:type="dxa"/>
            <w:right w:w="108" w:type="dxa"/>
          </w:tblCellMar>
        </w:tblPrEx>
        <w:trPr>
          <w:trHeight w:val="300" w:hRule="exact"/>
          <w:jc w:val="center"/>
        </w:trPr>
        <w:tc>
          <w:tcPr>
            <w:tcW w:w="320"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34"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05" w:type="pct"/>
            <w:gridSpan w:val="2"/>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质量指标</w:t>
            </w:r>
          </w:p>
        </w:tc>
        <w:tc>
          <w:tcPr>
            <w:tcW w:w="1170" w:type="pct"/>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保质保量汇总数据上报</w:t>
            </w:r>
          </w:p>
        </w:tc>
        <w:tc>
          <w:tcPr>
            <w:tcW w:w="516"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满分</w:t>
            </w:r>
          </w:p>
        </w:tc>
        <w:tc>
          <w:tcPr>
            <w:tcW w:w="463"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满分</w:t>
            </w:r>
          </w:p>
        </w:tc>
        <w:tc>
          <w:tcPr>
            <w:tcW w:w="308"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20</w:t>
            </w:r>
          </w:p>
        </w:tc>
        <w:tc>
          <w:tcPr>
            <w:tcW w:w="256"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20</w:t>
            </w:r>
          </w:p>
        </w:tc>
        <w:tc>
          <w:tcPr>
            <w:tcW w:w="825"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320"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34"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05" w:type="pct"/>
            <w:gridSpan w:val="2"/>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时效指标</w:t>
            </w:r>
          </w:p>
        </w:tc>
        <w:tc>
          <w:tcPr>
            <w:tcW w:w="1170" w:type="pct"/>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按时按要求上报</w:t>
            </w:r>
          </w:p>
        </w:tc>
        <w:tc>
          <w:tcPr>
            <w:tcW w:w="516"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及时</w:t>
            </w:r>
          </w:p>
        </w:tc>
        <w:tc>
          <w:tcPr>
            <w:tcW w:w="463"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及时</w:t>
            </w:r>
          </w:p>
        </w:tc>
        <w:tc>
          <w:tcPr>
            <w:tcW w:w="308"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256"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825"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320"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34"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05" w:type="pct"/>
            <w:gridSpan w:val="2"/>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成本指标</w:t>
            </w:r>
          </w:p>
        </w:tc>
        <w:tc>
          <w:tcPr>
            <w:tcW w:w="1170" w:type="pct"/>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成本费用小于全年预算</w:t>
            </w:r>
          </w:p>
        </w:tc>
        <w:tc>
          <w:tcPr>
            <w:tcW w:w="516"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&lt;=2.9万万</w:t>
            </w:r>
          </w:p>
        </w:tc>
        <w:tc>
          <w:tcPr>
            <w:tcW w:w="463"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2.31万</w:t>
            </w:r>
          </w:p>
        </w:tc>
        <w:tc>
          <w:tcPr>
            <w:tcW w:w="308"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20</w:t>
            </w:r>
          </w:p>
        </w:tc>
        <w:tc>
          <w:tcPr>
            <w:tcW w:w="256"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20</w:t>
            </w:r>
          </w:p>
        </w:tc>
        <w:tc>
          <w:tcPr>
            <w:tcW w:w="825"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570" w:hRule="exact"/>
          <w:jc w:val="center"/>
        </w:trPr>
        <w:tc>
          <w:tcPr>
            <w:tcW w:w="320"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34" w:type="pct"/>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效益指标</w:t>
            </w:r>
          </w:p>
        </w:tc>
        <w:tc>
          <w:tcPr>
            <w:tcW w:w="605" w:type="pct"/>
            <w:gridSpan w:val="2"/>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经济效益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170" w:type="pct"/>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p>
        </w:tc>
        <w:tc>
          <w:tcPr>
            <w:tcW w:w="516"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463"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308"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56"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25"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585" w:hRule="exact"/>
          <w:jc w:val="center"/>
        </w:trPr>
        <w:tc>
          <w:tcPr>
            <w:tcW w:w="320"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34"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05" w:type="pct"/>
            <w:gridSpan w:val="2"/>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社会效益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170" w:type="pct"/>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促进日常工作正常开展</w:t>
            </w:r>
          </w:p>
        </w:tc>
        <w:tc>
          <w:tcPr>
            <w:tcW w:w="516"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促进</w:t>
            </w:r>
          </w:p>
        </w:tc>
        <w:tc>
          <w:tcPr>
            <w:tcW w:w="463"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促进</w:t>
            </w:r>
          </w:p>
        </w:tc>
        <w:tc>
          <w:tcPr>
            <w:tcW w:w="308"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20</w:t>
            </w:r>
          </w:p>
        </w:tc>
        <w:tc>
          <w:tcPr>
            <w:tcW w:w="256"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20</w:t>
            </w:r>
          </w:p>
        </w:tc>
        <w:tc>
          <w:tcPr>
            <w:tcW w:w="825"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615" w:hRule="exact"/>
          <w:jc w:val="center"/>
        </w:trPr>
        <w:tc>
          <w:tcPr>
            <w:tcW w:w="320"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34"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05" w:type="pct"/>
            <w:gridSpan w:val="2"/>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生态效益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170" w:type="pct"/>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p>
        </w:tc>
        <w:tc>
          <w:tcPr>
            <w:tcW w:w="516"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463"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308"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56"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25"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510" w:hRule="exact"/>
          <w:jc w:val="center"/>
        </w:trPr>
        <w:tc>
          <w:tcPr>
            <w:tcW w:w="320"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34"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05" w:type="pct"/>
            <w:gridSpan w:val="2"/>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可持续影响指标</w:t>
            </w:r>
          </w:p>
        </w:tc>
        <w:tc>
          <w:tcPr>
            <w:tcW w:w="1170" w:type="pct"/>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p>
        </w:tc>
        <w:tc>
          <w:tcPr>
            <w:tcW w:w="516"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463"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308"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56"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25"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705" w:hRule="exact"/>
          <w:jc w:val="center"/>
        </w:trPr>
        <w:tc>
          <w:tcPr>
            <w:tcW w:w="320"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34" w:type="pc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满意度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605" w:type="pct"/>
            <w:gridSpan w:val="2"/>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1170" w:type="pct"/>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相关受益人满意度</w:t>
            </w:r>
            <w:r>
              <w:rPr>
                <w:rFonts w:hint="eastAsia" w:ascii="宋体" w:hAnsi="宋体" w:eastAsia="宋体" w:cs="宋体"/>
                <w:color w:val="000000"/>
                <w:kern w:val="0"/>
                <w:sz w:val="18"/>
                <w:szCs w:val="18"/>
              </w:rPr>
              <w:tab/>
            </w:r>
          </w:p>
        </w:tc>
        <w:tc>
          <w:tcPr>
            <w:tcW w:w="516"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≥95%</w:t>
            </w:r>
          </w:p>
        </w:tc>
        <w:tc>
          <w:tcPr>
            <w:tcW w:w="463"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95%</w:t>
            </w:r>
          </w:p>
        </w:tc>
        <w:tc>
          <w:tcPr>
            <w:tcW w:w="308"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256"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825"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3608" w:type="pct"/>
            <w:gridSpan w:val="9"/>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308"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1000</w:t>
            </w:r>
          </w:p>
        </w:tc>
        <w:tc>
          <w:tcPr>
            <w:tcW w:w="256"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98</w:t>
            </w:r>
          </w:p>
        </w:tc>
        <w:tc>
          <w:tcPr>
            <w:tcW w:w="825"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1023" w:hRule="atLeast"/>
          <w:jc w:val="center"/>
        </w:trPr>
        <w:tc>
          <w:tcPr>
            <w:tcW w:w="320"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项目绩效分析</w:t>
            </w:r>
          </w:p>
        </w:tc>
        <w:tc>
          <w:tcPr>
            <w:tcW w:w="569"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自评结果分析</w:t>
            </w:r>
          </w:p>
        </w:tc>
        <w:tc>
          <w:tcPr>
            <w:tcW w:w="570"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项目实施和预算执行情况及分析</w:t>
            </w:r>
          </w:p>
        </w:tc>
        <w:tc>
          <w:tcPr>
            <w:tcW w:w="3540" w:type="pct"/>
            <w:gridSpan w:val="11"/>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通过项目的实施，为农业政策制定提供数据支撑；提高价格决策的科学性和透明度，为国家制定价格政策及政府调定价提供可靠的依据。已完成年初预算任务。</w:t>
            </w:r>
          </w:p>
        </w:tc>
      </w:tr>
      <w:tr>
        <w:tblPrEx>
          <w:tblCellMar>
            <w:top w:w="0" w:type="dxa"/>
            <w:left w:w="108" w:type="dxa"/>
            <w:bottom w:w="0" w:type="dxa"/>
            <w:right w:w="108" w:type="dxa"/>
          </w:tblCellMar>
        </w:tblPrEx>
        <w:trPr>
          <w:trHeight w:val="840" w:hRule="atLeast"/>
          <w:jc w:val="center"/>
        </w:trPr>
        <w:tc>
          <w:tcPr>
            <w:tcW w:w="320"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p>
        </w:tc>
        <w:tc>
          <w:tcPr>
            <w:tcW w:w="569"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p>
        </w:tc>
        <w:tc>
          <w:tcPr>
            <w:tcW w:w="570"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产出情况及分析</w:t>
            </w:r>
          </w:p>
        </w:tc>
        <w:tc>
          <w:tcPr>
            <w:tcW w:w="3540" w:type="pct"/>
            <w:gridSpan w:val="11"/>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按要求向省局上报农产品调查数据，完成农产品调查工作；完成成本调查监审工作，出具成本调查监审结论报告。</w:t>
            </w:r>
          </w:p>
        </w:tc>
      </w:tr>
      <w:tr>
        <w:tblPrEx>
          <w:tblCellMar>
            <w:top w:w="0" w:type="dxa"/>
            <w:left w:w="108" w:type="dxa"/>
            <w:bottom w:w="0" w:type="dxa"/>
            <w:right w:w="108" w:type="dxa"/>
          </w:tblCellMar>
        </w:tblPrEx>
        <w:trPr>
          <w:trHeight w:val="1100" w:hRule="atLeast"/>
          <w:jc w:val="center"/>
        </w:trPr>
        <w:tc>
          <w:tcPr>
            <w:tcW w:w="320"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p>
        </w:tc>
        <w:tc>
          <w:tcPr>
            <w:tcW w:w="569"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p>
        </w:tc>
        <w:tc>
          <w:tcPr>
            <w:tcW w:w="570"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效益情况及分析</w:t>
            </w:r>
          </w:p>
        </w:tc>
        <w:tc>
          <w:tcPr>
            <w:tcW w:w="3540" w:type="pct"/>
            <w:gridSpan w:val="11"/>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农产品价格成本调查为国家在宏观调控、农业供给侧结构性改革和农业政策制定中提供数据支撑，并为农业生产经营者提供服务，从而促进农业生产稳步发展。重要商品与服务价格的成本监审工作对进一步完善价格管理，提高价格决策的科学性和透明度，为国家制定价格政策及政府调定价提供可靠的依据。</w:t>
            </w:r>
          </w:p>
        </w:tc>
      </w:tr>
      <w:tr>
        <w:tblPrEx>
          <w:tblCellMar>
            <w:top w:w="0" w:type="dxa"/>
            <w:left w:w="108" w:type="dxa"/>
            <w:bottom w:w="0" w:type="dxa"/>
            <w:right w:w="108" w:type="dxa"/>
          </w:tblCellMar>
        </w:tblPrEx>
        <w:trPr>
          <w:trHeight w:val="890" w:hRule="atLeast"/>
          <w:jc w:val="center"/>
        </w:trPr>
        <w:tc>
          <w:tcPr>
            <w:tcW w:w="320"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p>
        </w:tc>
        <w:tc>
          <w:tcPr>
            <w:tcW w:w="569"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p>
        </w:tc>
        <w:tc>
          <w:tcPr>
            <w:tcW w:w="570"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满意度情况及分析</w:t>
            </w:r>
          </w:p>
        </w:tc>
        <w:tc>
          <w:tcPr>
            <w:tcW w:w="3540" w:type="pct"/>
            <w:gridSpan w:val="11"/>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相关受益人满意度95%以上。</w:t>
            </w:r>
          </w:p>
        </w:tc>
      </w:tr>
      <w:tr>
        <w:tblPrEx>
          <w:tblCellMar>
            <w:top w:w="0" w:type="dxa"/>
            <w:left w:w="108" w:type="dxa"/>
            <w:bottom w:w="0" w:type="dxa"/>
            <w:right w:w="108" w:type="dxa"/>
          </w:tblCellMar>
        </w:tblPrEx>
        <w:trPr>
          <w:trHeight w:val="2240" w:hRule="exact"/>
          <w:jc w:val="center"/>
        </w:trPr>
        <w:tc>
          <w:tcPr>
            <w:tcW w:w="320"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p>
        </w:tc>
        <w:tc>
          <w:tcPr>
            <w:tcW w:w="1139" w:type="pct"/>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主要经验做法</w:t>
            </w:r>
          </w:p>
        </w:tc>
        <w:tc>
          <w:tcPr>
            <w:tcW w:w="3540" w:type="pct"/>
            <w:gridSpan w:val="11"/>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年初制定全年工作计划，要求各人员按要求加强管理，保证资金拨付程序、费用开支范围及标准，报账手续合规，同时加强项目绩效监控，保证资金使用效率。</w:t>
            </w:r>
          </w:p>
        </w:tc>
      </w:tr>
      <w:tr>
        <w:tblPrEx>
          <w:tblCellMar>
            <w:top w:w="0" w:type="dxa"/>
            <w:left w:w="108" w:type="dxa"/>
            <w:bottom w:w="0" w:type="dxa"/>
            <w:right w:w="108" w:type="dxa"/>
          </w:tblCellMar>
        </w:tblPrEx>
        <w:trPr>
          <w:trHeight w:val="1356" w:hRule="exact"/>
          <w:jc w:val="center"/>
        </w:trPr>
        <w:tc>
          <w:tcPr>
            <w:tcW w:w="320"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p>
        </w:tc>
        <w:tc>
          <w:tcPr>
            <w:tcW w:w="1139" w:type="pct"/>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项目管理中存在的</w:t>
            </w:r>
          </w:p>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主要问题及原因分析</w:t>
            </w:r>
          </w:p>
        </w:tc>
        <w:tc>
          <w:tcPr>
            <w:tcW w:w="3540" w:type="pct"/>
            <w:gridSpan w:val="11"/>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在管理方面经验不足，资金使用安排考虑还不够全面，存在经费不足问题。</w:t>
            </w:r>
          </w:p>
        </w:tc>
      </w:tr>
      <w:tr>
        <w:tblPrEx>
          <w:tblCellMar>
            <w:top w:w="0" w:type="dxa"/>
            <w:left w:w="108" w:type="dxa"/>
            <w:bottom w:w="0" w:type="dxa"/>
            <w:right w:w="108" w:type="dxa"/>
          </w:tblCellMar>
        </w:tblPrEx>
        <w:trPr>
          <w:trHeight w:val="2020" w:hRule="exact"/>
          <w:jc w:val="center"/>
        </w:trPr>
        <w:tc>
          <w:tcPr>
            <w:tcW w:w="320"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p>
        </w:tc>
        <w:tc>
          <w:tcPr>
            <w:tcW w:w="1139" w:type="pct"/>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下一步改进措施及</w:t>
            </w:r>
          </w:p>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管理建议</w:t>
            </w:r>
          </w:p>
        </w:tc>
        <w:tc>
          <w:tcPr>
            <w:tcW w:w="3540" w:type="pct"/>
            <w:gridSpan w:val="11"/>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进一步细化工作任务，完善项目资金分配、使用及管理制度，按照职责分工和工作任务合理分配资金。</w:t>
            </w:r>
          </w:p>
        </w:tc>
      </w:tr>
    </w:tbl>
    <w:p>
      <w:pPr>
        <w:numPr>
          <w:ilvl w:val="0"/>
          <w:numId w:val="5"/>
        </w:numPr>
        <w:ind w:left="13" w:leftChars="6" w:firstLine="624" w:firstLineChars="195"/>
        <w:rPr>
          <w:rFonts w:hint="eastAsia" w:ascii="仿宋" w:hAnsi="仿宋" w:eastAsia="仿宋"/>
          <w:sz w:val="32"/>
          <w:szCs w:val="32"/>
          <w:lang w:val="en-US" w:eastAsia="zh-CN"/>
        </w:rPr>
      </w:pPr>
      <w:r>
        <w:rPr>
          <w:rFonts w:hint="eastAsia" w:ascii="仿宋" w:hAnsi="仿宋" w:eastAsia="仿宋"/>
          <w:sz w:val="32"/>
          <w:szCs w:val="32"/>
          <w:lang w:val="en-US" w:eastAsia="zh-CN"/>
        </w:rPr>
        <w:t>成本调查监审经费项目绩效自评综述：根据年初设定的绩效目标，项目自评得分98分。全年预算数为11万元，执行数为9.71万元，完成预算的88.27%。项目绩效目标完成情况：已完成年初预期目标。发现的主要问题及原因：在管理方面经验不足，资金使用安排考虑还不够全面，存在经费不足问题。下一步改进措施：进一步细化工作任务，完善项目资金分配、使用及管理制度，按照职责分工和工作任务合理分配资金。</w:t>
      </w:r>
    </w:p>
    <w:tbl>
      <w:tblPr>
        <w:tblStyle w:val="7"/>
        <w:tblW w:w="5000" w:type="pct"/>
        <w:jc w:val="center"/>
        <w:tblLayout w:type="autofit"/>
        <w:tblCellMar>
          <w:top w:w="0" w:type="dxa"/>
          <w:left w:w="108" w:type="dxa"/>
          <w:bottom w:w="0" w:type="dxa"/>
          <w:right w:w="108" w:type="dxa"/>
        </w:tblCellMar>
      </w:tblPr>
      <w:tblGrid>
        <w:gridCol w:w="627"/>
        <w:gridCol w:w="1051"/>
        <w:gridCol w:w="68"/>
        <w:gridCol w:w="1121"/>
        <w:gridCol w:w="783"/>
        <w:gridCol w:w="1316"/>
        <w:gridCol w:w="604"/>
        <w:gridCol w:w="913"/>
        <w:gridCol w:w="911"/>
        <w:gridCol w:w="152"/>
        <w:gridCol w:w="454"/>
        <w:gridCol w:w="49"/>
        <w:gridCol w:w="405"/>
        <w:gridCol w:w="506"/>
        <w:gridCol w:w="1320"/>
      </w:tblGrid>
      <w:tr>
        <w:tblPrEx>
          <w:tblCellMar>
            <w:top w:w="0" w:type="dxa"/>
            <w:left w:w="108" w:type="dxa"/>
            <w:bottom w:w="0" w:type="dxa"/>
            <w:right w:w="108" w:type="dxa"/>
          </w:tblCellMar>
        </w:tblPrEx>
        <w:trPr>
          <w:trHeight w:val="529" w:hRule="exact"/>
          <w:jc w:val="center"/>
        </w:trPr>
        <w:tc>
          <w:tcPr>
            <w:tcW w:w="5000" w:type="pct"/>
            <w:gridSpan w:val="15"/>
            <w:tcBorders>
              <w:top w:val="nil"/>
              <w:left w:val="nil"/>
              <w:bottom w:val="nil"/>
              <w:right w:val="nil"/>
            </w:tcBorders>
            <w:vAlign w:val="center"/>
          </w:tcPr>
          <w:p>
            <w:pPr>
              <w:widowControl/>
              <w:spacing w:line="320" w:lineRule="exact"/>
              <w:jc w:val="center"/>
              <w:rPr>
                <w:rFonts w:ascii="宋体" w:hAnsi="宋体" w:eastAsia="宋体" w:cs="宋体"/>
                <w:b/>
                <w:bCs/>
                <w:kern w:val="0"/>
                <w:sz w:val="32"/>
                <w:szCs w:val="32"/>
              </w:rPr>
            </w:pPr>
            <w:r>
              <w:rPr>
                <w:rFonts w:hint="eastAsia" w:ascii="华文中宋" w:hAnsi="华文中宋" w:eastAsia="华文中宋" w:cs="华文中宋"/>
                <w:b/>
                <w:bCs/>
                <w:kern w:val="0"/>
                <w:sz w:val="36"/>
                <w:szCs w:val="36"/>
              </w:rPr>
              <w:t>项目支出绩效自评表</w:t>
            </w:r>
          </w:p>
        </w:tc>
      </w:tr>
      <w:tr>
        <w:tblPrEx>
          <w:tblCellMar>
            <w:top w:w="0" w:type="dxa"/>
            <w:left w:w="108" w:type="dxa"/>
            <w:bottom w:w="0" w:type="dxa"/>
            <w:right w:w="108" w:type="dxa"/>
          </w:tblCellMar>
        </w:tblPrEx>
        <w:trPr>
          <w:trHeight w:val="201" w:hRule="atLeast"/>
          <w:jc w:val="center"/>
        </w:trPr>
        <w:tc>
          <w:tcPr>
            <w:tcW w:w="5000" w:type="pct"/>
            <w:gridSpan w:val="15"/>
            <w:tcBorders>
              <w:top w:val="nil"/>
              <w:left w:val="nil"/>
              <w:bottom w:val="nil"/>
              <w:right w:val="nil"/>
            </w:tcBorders>
          </w:tcPr>
          <w:p>
            <w:pPr>
              <w:widowControl/>
              <w:rPr>
                <w:rFonts w:ascii="宋体" w:hAnsi="宋体" w:eastAsia="宋体" w:cs="宋体"/>
                <w:kern w:val="0"/>
                <w:sz w:val="22"/>
                <w:szCs w:val="22"/>
              </w:rPr>
            </w:pPr>
            <w:r>
              <w:rPr>
                <w:rFonts w:hint="eastAsia" w:ascii="宋体" w:hAnsi="宋体" w:eastAsia="宋体" w:cs="宋体"/>
                <w:kern w:val="0"/>
                <w:sz w:val="22"/>
                <w:szCs w:val="22"/>
              </w:rPr>
              <w:t>填列单位（公章）：                （2021年度）</w:t>
            </w:r>
          </w:p>
        </w:tc>
      </w:tr>
      <w:tr>
        <w:tblPrEx>
          <w:tblCellMar>
            <w:top w:w="0" w:type="dxa"/>
            <w:left w:w="108" w:type="dxa"/>
            <w:bottom w:w="0" w:type="dxa"/>
            <w:right w:w="108" w:type="dxa"/>
          </w:tblCellMar>
        </w:tblPrEx>
        <w:trPr>
          <w:trHeight w:val="320" w:hRule="exact"/>
          <w:jc w:val="center"/>
        </w:trPr>
        <w:tc>
          <w:tcPr>
            <w:tcW w:w="81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项目名称</w:t>
            </w:r>
          </w:p>
        </w:tc>
        <w:tc>
          <w:tcPr>
            <w:tcW w:w="4183" w:type="pct"/>
            <w:gridSpan w:val="1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成本调查监审经费</w:t>
            </w:r>
          </w:p>
        </w:tc>
      </w:tr>
      <w:tr>
        <w:tblPrEx>
          <w:tblCellMar>
            <w:top w:w="0" w:type="dxa"/>
            <w:left w:w="108" w:type="dxa"/>
            <w:bottom w:w="0" w:type="dxa"/>
            <w:right w:w="108" w:type="dxa"/>
          </w:tblCellMar>
        </w:tblPrEx>
        <w:trPr>
          <w:trHeight w:val="380" w:hRule="exact"/>
          <w:jc w:val="center"/>
        </w:trPr>
        <w:tc>
          <w:tcPr>
            <w:tcW w:w="81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主管部门</w:t>
            </w:r>
          </w:p>
        </w:tc>
        <w:tc>
          <w:tcPr>
            <w:tcW w:w="2337" w:type="pct"/>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大同市发展和改革委员会</w:t>
            </w:r>
          </w:p>
        </w:tc>
        <w:tc>
          <w:tcPr>
            <w:tcW w:w="517"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实施单位</w:t>
            </w:r>
          </w:p>
        </w:tc>
        <w:tc>
          <w:tcPr>
            <w:tcW w:w="1329" w:type="pct"/>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大同市成本调查监审局</w:t>
            </w:r>
          </w:p>
        </w:tc>
      </w:tr>
      <w:tr>
        <w:tblPrEx>
          <w:tblCellMar>
            <w:top w:w="0" w:type="dxa"/>
            <w:left w:w="108" w:type="dxa"/>
            <w:bottom w:w="0" w:type="dxa"/>
            <w:right w:w="108" w:type="dxa"/>
          </w:tblCellMar>
        </w:tblPrEx>
        <w:trPr>
          <w:trHeight w:val="300" w:hRule="exact"/>
          <w:jc w:val="center"/>
        </w:trPr>
        <w:tc>
          <w:tcPr>
            <w:tcW w:w="816"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rPr>
              <w:t>项目资金</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（万元）</w:t>
            </w:r>
          </w:p>
        </w:tc>
        <w:tc>
          <w:tcPr>
            <w:tcW w:w="959" w:type="pct"/>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40"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年初预算数</w:t>
            </w:r>
          </w:p>
        </w:tc>
        <w:tc>
          <w:tcPr>
            <w:tcW w:w="738"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全年预算数</w:t>
            </w:r>
          </w:p>
        </w:tc>
        <w:tc>
          <w:tcPr>
            <w:tcW w:w="517"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全年执行数</w:t>
            </w:r>
          </w:p>
        </w:tc>
        <w:tc>
          <w:tcPr>
            <w:tcW w:w="245"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443"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执行率</w:t>
            </w:r>
          </w:p>
        </w:tc>
        <w:tc>
          <w:tcPr>
            <w:tcW w:w="641"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816"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59" w:type="pct"/>
            <w:gridSpan w:val="3"/>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年度资金总额</w:t>
            </w:r>
          </w:p>
        </w:tc>
        <w:tc>
          <w:tcPr>
            <w:tcW w:w="640"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11</w:t>
            </w:r>
          </w:p>
        </w:tc>
        <w:tc>
          <w:tcPr>
            <w:tcW w:w="738"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11</w:t>
            </w:r>
          </w:p>
        </w:tc>
        <w:tc>
          <w:tcPr>
            <w:tcW w:w="517"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9.71</w:t>
            </w:r>
          </w:p>
        </w:tc>
        <w:tc>
          <w:tcPr>
            <w:tcW w:w="245"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443"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88.27%</w:t>
            </w:r>
          </w:p>
        </w:tc>
        <w:tc>
          <w:tcPr>
            <w:tcW w:w="641"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9</w:t>
            </w:r>
          </w:p>
        </w:tc>
      </w:tr>
      <w:tr>
        <w:tblPrEx>
          <w:tblCellMar>
            <w:top w:w="0" w:type="dxa"/>
            <w:left w:w="108" w:type="dxa"/>
            <w:bottom w:w="0" w:type="dxa"/>
            <w:right w:w="108" w:type="dxa"/>
          </w:tblCellMar>
        </w:tblPrEx>
        <w:trPr>
          <w:trHeight w:val="300" w:hRule="exact"/>
          <w:jc w:val="center"/>
        </w:trPr>
        <w:tc>
          <w:tcPr>
            <w:tcW w:w="816"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59" w:type="pct"/>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其中：当年财政拨款</w:t>
            </w:r>
          </w:p>
        </w:tc>
        <w:tc>
          <w:tcPr>
            <w:tcW w:w="640"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11</w:t>
            </w:r>
          </w:p>
        </w:tc>
        <w:tc>
          <w:tcPr>
            <w:tcW w:w="738"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17"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45"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443"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41"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00" w:hRule="exact"/>
          <w:jc w:val="center"/>
        </w:trPr>
        <w:tc>
          <w:tcPr>
            <w:tcW w:w="816"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59" w:type="pct"/>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640"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738"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17"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45"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443"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41"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00" w:hRule="exact"/>
          <w:jc w:val="center"/>
        </w:trPr>
        <w:tc>
          <w:tcPr>
            <w:tcW w:w="816"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59" w:type="pct"/>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640"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738"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17"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45"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443"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41"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00" w:hRule="exact"/>
          <w:jc w:val="center"/>
        </w:trPr>
        <w:tc>
          <w:tcPr>
            <w:tcW w:w="305" w:type="pct"/>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年度总体目标</w:t>
            </w:r>
          </w:p>
        </w:tc>
        <w:tc>
          <w:tcPr>
            <w:tcW w:w="2847" w:type="pct"/>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预期目标</w:t>
            </w:r>
          </w:p>
        </w:tc>
        <w:tc>
          <w:tcPr>
            <w:tcW w:w="1846" w:type="pct"/>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305"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847" w:type="pct"/>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5"/>
                <w:szCs w:val="15"/>
              </w:rPr>
            </w:pPr>
            <w:r>
              <w:rPr>
                <w:rFonts w:hint="eastAsia" w:ascii="宋体" w:hAnsi="宋体" w:eastAsia="宋体" w:cs="宋体"/>
                <w:kern w:val="0"/>
                <w:sz w:val="15"/>
                <w:szCs w:val="15"/>
              </w:rPr>
              <w:t>通过项目的实施，为农业政策制定提供数据支撑；提高价格决策的科学性和透明度，为国家制定价格政策及政府调定价提供可靠的依据。</w:t>
            </w:r>
          </w:p>
          <w:p>
            <w:pPr>
              <w:widowControl/>
              <w:spacing w:line="240" w:lineRule="exact"/>
              <w:jc w:val="center"/>
              <w:rPr>
                <w:rFonts w:ascii="宋体" w:hAnsi="宋体" w:eastAsia="宋体" w:cs="宋体"/>
                <w:kern w:val="0"/>
                <w:sz w:val="15"/>
                <w:szCs w:val="15"/>
              </w:rPr>
            </w:pPr>
          </w:p>
        </w:tc>
        <w:tc>
          <w:tcPr>
            <w:tcW w:w="1846" w:type="pct"/>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已完成年初预期目标</w:t>
            </w:r>
          </w:p>
        </w:tc>
      </w:tr>
      <w:tr>
        <w:tblPrEx>
          <w:tblCellMar>
            <w:top w:w="0" w:type="dxa"/>
            <w:left w:w="108" w:type="dxa"/>
            <w:bottom w:w="0" w:type="dxa"/>
            <w:right w:w="108" w:type="dxa"/>
          </w:tblCellMar>
        </w:tblPrEx>
        <w:trPr>
          <w:trHeight w:val="533" w:hRule="exact"/>
          <w:jc w:val="center"/>
        </w:trPr>
        <w:tc>
          <w:tcPr>
            <w:tcW w:w="305" w:type="pct"/>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rPr>
              <w:t>绩</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rPr>
              <w:t>效</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rPr>
              <w:t>指</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标</w:t>
            </w:r>
          </w:p>
        </w:tc>
        <w:tc>
          <w:tcPr>
            <w:tcW w:w="510"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一级指标</w:t>
            </w:r>
          </w:p>
        </w:tc>
        <w:tc>
          <w:tcPr>
            <w:tcW w:w="578"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二级指标</w:t>
            </w:r>
          </w:p>
        </w:tc>
        <w:tc>
          <w:tcPr>
            <w:tcW w:w="1315" w:type="pct"/>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三级指标</w:t>
            </w:r>
          </w:p>
        </w:tc>
        <w:tc>
          <w:tcPr>
            <w:tcW w:w="443"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指标值</w:t>
            </w:r>
          </w:p>
        </w:tc>
        <w:tc>
          <w:tcPr>
            <w:tcW w:w="443"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完成值</w:t>
            </w:r>
          </w:p>
        </w:tc>
        <w:tc>
          <w:tcPr>
            <w:tcW w:w="295"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221"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c>
          <w:tcPr>
            <w:tcW w:w="886"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CellMar>
            <w:top w:w="0" w:type="dxa"/>
            <w:left w:w="108" w:type="dxa"/>
            <w:bottom w:w="0" w:type="dxa"/>
            <w:right w:w="108" w:type="dxa"/>
          </w:tblCellMar>
        </w:tblPrEx>
        <w:trPr>
          <w:trHeight w:val="437" w:hRule="exact"/>
          <w:jc w:val="center"/>
        </w:trPr>
        <w:tc>
          <w:tcPr>
            <w:tcW w:w="305"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10" w:type="pct"/>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产出指标</w:t>
            </w:r>
          </w:p>
        </w:tc>
        <w:tc>
          <w:tcPr>
            <w:tcW w:w="578" w:type="pct"/>
            <w:gridSpan w:val="2"/>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数量指标</w:t>
            </w:r>
          </w:p>
        </w:tc>
        <w:tc>
          <w:tcPr>
            <w:tcW w:w="1315" w:type="pct"/>
            <w:gridSpan w:val="3"/>
            <w:tcBorders>
              <w:top w:val="single" w:color="auto" w:sz="4" w:space="0"/>
              <w:left w:val="nil"/>
              <w:bottom w:val="single" w:color="auto" w:sz="4" w:space="0"/>
              <w:right w:val="single" w:color="auto" w:sz="4" w:space="0"/>
            </w:tcBorders>
            <w:vAlign w:val="center"/>
          </w:tcPr>
          <w:p>
            <w:pPr>
              <w:widowControl/>
              <w:spacing w:line="20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完成14个监审项目，10项农本调查任务</w:t>
            </w:r>
          </w:p>
        </w:tc>
        <w:tc>
          <w:tcPr>
            <w:tcW w:w="443"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24</w:t>
            </w:r>
          </w:p>
        </w:tc>
        <w:tc>
          <w:tcPr>
            <w:tcW w:w="443"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24</w:t>
            </w:r>
          </w:p>
        </w:tc>
        <w:tc>
          <w:tcPr>
            <w:tcW w:w="295"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221"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886"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305"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10"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78" w:type="pct"/>
            <w:gridSpan w:val="2"/>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质量指标</w:t>
            </w:r>
          </w:p>
        </w:tc>
        <w:tc>
          <w:tcPr>
            <w:tcW w:w="1315" w:type="pct"/>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拨款完成率</w:t>
            </w:r>
          </w:p>
        </w:tc>
        <w:tc>
          <w:tcPr>
            <w:tcW w:w="443"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=100%</w:t>
            </w:r>
          </w:p>
        </w:tc>
        <w:tc>
          <w:tcPr>
            <w:tcW w:w="443"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88.27%</w:t>
            </w:r>
          </w:p>
        </w:tc>
        <w:tc>
          <w:tcPr>
            <w:tcW w:w="295"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20</w:t>
            </w:r>
          </w:p>
        </w:tc>
        <w:tc>
          <w:tcPr>
            <w:tcW w:w="221"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19</w:t>
            </w:r>
          </w:p>
        </w:tc>
        <w:tc>
          <w:tcPr>
            <w:tcW w:w="886"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资金未及时到位</w:t>
            </w:r>
          </w:p>
        </w:tc>
      </w:tr>
      <w:tr>
        <w:tblPrEx>
          <w:tblCellMar>
            <w:top w:w="0" w:type="dxa"/>
            <w:left w:w="108" w:type="dxa"/>
            <w:bottom w:w="0" w:type="dxa"/>
            <w:right w:w="108" w:type="dxa"/>
          </w:tblCellMar>
        </w:tblPrEx>
        <w:trPr>
          <w:trHeight w:val="300" w:hRule="exact"/>
          <w:jc w:val="center"/>
        </w:trPr>
        <w:tc>
          <w:tcPr>
            <w:tcW w:w="305"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10"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78" w:type="pct"/>
            <w:gridSpan w:val="2"/>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时效指标</w:t>
            </w:r>
          </w:p>
        </w:tc>
        <w:tc>
          <w:tcPr>
            <w:tcW w:w="1315" w:type="pct"/>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及时出具报告,按时上报数据</w:t>
            </w:r>
          </w:p>
        </w:tc>
        <w:tc>
          <w:tcPr>
            <w:tcW w:w="443"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及时</w:t>
            </w:r>
          </w:p>
        </w:tc>
        <w:tc>
          <w:tcPr>
            <w:tcW w:w="443"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及时</w:t>
            </w:r>
          </w:p>
        </w:tc>
        <w:tc>
          <w:tcPr>
            <w:tcW w:w="295"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221"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886"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305"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10"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78" w:type="pct"/>
            <w:gridSpan w:val="2"/>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成本指标</w:t>
            </w:r>
          </w:p>
        </w:tc>
        <w:tc>
          <w:tcPr>
            <w:tcW w:w="1315" w:type="pct"/>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kern w:val="0"/>
                <w:sz w:val="18"/>
                <w:szCs w:val="18"/>
              </w:rPr>
              <w:t>成本费用小于全年预算</w:t>
            </w:r>
          </w:p>
        </w:tc>
        <w:tc>
          <w:tcPr>
            <w:tcW w:w="443"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&lt;=11万万元</w:t>
            </w:r>
          </w:p>
        </w:tc>
        <w:tc>
          <w:tcPr>
            <w:tcW w:w="443"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9.71万</w:t>
            </w:r>
          </w:p>
        </w:tc>
        <w:tc>
          <w:tcPr>
            <w:tcW w:w="295"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20</w:t>
            </w:r>
          </w:p>
        </w:tc>
        <w:tc>
          <w:tcPr>
            <w:tcW w:w="221"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20</w:t>
            </w:r>
          </w:p>
        </w:tc>
        <w:tc>
          <w:tcPr>
            <w:tcW w:w="886"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570" w:hRule="exact"/>
          <w:jc w:val="center"/>
        </w:trPr>
        <w:tc>
          <w:tcPr>
            <w:tcW w:w="305"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10" w:type="pct"/>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效益指标</w:t>
            </w:r>
          </w:p>
        </w:tc>
        <w:tc>
          <w:tcPr>
            <w:tcW w:w="578" w:type="pct"/>
            <w:gridSpan w:val="2"/>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经济效益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315" w:type="pct"/>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p>
        </w:tc>
        <w:tc>
          <w:tcPr>
            <w:tcW w:w="443"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443"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95"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21"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86"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585" w:hRule="exact"/>
          <w:jc w:val="center"/>
        </w:trPr>
        <w:tc>
          <w:tcPr>
            <w:tcW w:w="305"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10"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78" w:type="pct"/>
            <w:gridSpan w:val="2"/>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社会效益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315" w:type="pct"/>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促进日常工作正常开展</w:t>
            </w:r>
          </w:p>
        </w:tc>
        <w:tc>
          <w:tcPr>
            <w:tcW w:w="443"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促进</w:t>
            </w:r>
          </w:p>
        </w:tc>
        <w:tc>
          <w:tcPr>
            <w:tcW w:w="443"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促进</w:t>
            </w:r>
          </w:p>
        </w:tc>
        <w:tc>
          <w:tcPr>
            <w:tcW w:w="295"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20</w:t>
            </w:r>
          </w:p>
        </w:tc>
        <w:tc>
          <w:tcPr>
            <w:tcW w:w="221"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20</w:t>
            </w:r>
          </w:p>
        </w:tc>
        <w:tc>
          <w:tcPr>
            <w:tcW w:w="886"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615" w:hRule="exact"/>
          <w:jc w:val="center"/>
        </w:trPr>
        <w:tc>
          <w:tcPr>
            <w:tcW w:w="305"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10"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78" w:type="pct"/>
            <w:gridSpan w:val="2"/>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生态效益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315" w:type="pct"/>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p>
        </w:tc>
        <w:tc>
          <w:tcPr>
            <w:tcW w:w="443"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443"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95"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21"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86"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510" w:hRule="exact"/>
          <w:jc w:val="center"/>
        </w:trPr>
        <w:tc>
          <w:tcPr>
            <w:tcW w:w="305"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10"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78" w:type="pct"/>
            <w:gridSpan w:val="2"/>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可持续影响指标</w:t>
            </w:r>
          </w:p>
        </w:tc>
        <w:tc>
          <w:tcPr>
            <w:tcW w:w="1315" w:type="pct"/>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p>
        </w:tc>
        <w:tc>
          <w:tcPr>
            <w:tcW w:w="443"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443"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95"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21"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886"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705" w:hRule="exact"/>
          <w:jc w:val="center"/>
        </w:trPr>
        <w:tc>
          <w:tcPr>
            <w:tcW w:w="305"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10" w:type="pc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满意度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578" w:type="pct"/>
            <w:gridSpan w:val="2"/>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1315" w:type="pct"/>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相关受益人满意度</w:t>
            </w:r>
            <w:r>
              <w:rPr>
                <w:rFonts w:hint="eastAsia" w:ascii="宋体" w:hAnsi="宋体" w:eastAsia="宋体" w:cs="宋体"/>
                <w:color w:val="000000"/>
                <w:kern w:val="0"/>
                <w:sz w:val="18"/>
                <w:szCs w:val="18"/>
              </w:rPr>
              <w:tab/>
            </w:r>
          </w:p>
        </w:tc>
        <w:tc>
          <w:tcPr>
            <w:tcW w:w="443"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≥95%</w:t>
            </w:r>
          </w:p>
        </w:tc>
        <w:tc>
          <w:tcPr>
            <w:tcW w:w="443"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95%</w:t>
            </w:r>
          </w:p>
        </w:tc>
        <w:tc>
          <w:tcPr>
            <w:tcW w:w="295"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221"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886"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3596" w:type="pct"/>
            <w:gridSpan w:val="9"/>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295"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221"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98</w:t>
            </w:r>
          </w:p>
        </w:tc>
        <w:tc>
          <w:tcPr>
            <w:tcW w:w="886"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1021" w:hRule="atLeast"/>
          <w:jc w:val="center"/>
        </w:trPr>
        <w:tc>
          <w:tcPr>
            <w:tcW w:w="305"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项目绩效分析</w:t>
            </w:r>
          </w:p>
        </w:tc>
        <w:tc>
          <w:tcPr>
            <w:tcW w:w="544"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自评结果分析</w:t>
            </w:r>
          </w:p>
        </w:tc>
        <w:tc>
          <w:tcPr>
            <w:tcW w:w="544"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项目实施和预算执行情况及分析</w:t>
            </w:r>
          </w:p>
        </w:tc>
        <w:tc>
          <w:tcPr>
            <w:tcW w:w="3605" w:type="pct"/>
            <w:gridSpan w:val="11"/>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通过项目的实施，为农业政策制定提供数据支撑；提高价格决策的科学性和透明度，为国家制定价格政策及政府调定价提供可靠的依据。已完成年初预算任务。</w:t>
            </w:r>
          </w:p>
        </w:tc>
      </w:tr>
      <w:tr>
        <w:tblPrEx>
          <w:tblCellMar>
            <w:top w:w="0" w:type="dxa"/>
            <w:left w:w="108" w:type="dxa"/>
            <w:bottom w:w="0" w:type="dxa"/>
            <w:right w:w="108" w:type="dxa"/>
          </w:tblCellMar>
        </w:tblPrEx>
        <w:trPr>
          <w:trHeight w:val="1045" w:hRule="atLeast"/>
          <w:jc w:val="center"/>
        </w:trPr>
        <w:tc>
          <w:tcPr>
            <w:tcW w:w="305"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p>
        </w:tc>
        <w:tc>
          <w:tcPr>
            <w:tcW w:w="544"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p>
        </w:tc>
        <w:tc>
          <w:tcPr>
            <w:tcW w:w="544"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产出情况及分析</w:t>
            </w:r>
          </w:p>
        </w:tc>
        <w:tc>
          <w:tcPr>
            <w:tcW w:w="3605" w:type="pct"/>
            <w:gridSpan w:val="11"/>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按要求向省局上报农产品调查数据，完成农产品调查工作；完成成本调查监审工作，出具成本调查监审结论报告。</w:t>
            </w:r>
          </w:p>
        </w:tc>
      </w:tr>
      <w:tr>
        <w:tblPrEx>
          <w:tblCellMar>
            <w:top w:w="0" w:type="dxa"/>
            <w:left w:w="108" w:type="dxa"/>
            <w:bottom w:w="0" w:type="dxa"/>
            <w:right w:w="108" w:type="dxa"/>
          </w:tblCellMar>
        </w:tblPrEx>
        <w:trPr>
          <w:trHeight w:val="1100" w:hRule="atLeast"/>
          <w:jc w:val="center"/>
        </w:trPr>
        <w:tc>
          <w:tcPr>
            <w:tcW w:w="305"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p>
        </w:tc>
        <w:tc>
          <w:tcPr>
            <w:tcW w:w="544"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p>
        </w:tc>
        <w:tc>
          <w:tcPr>
            <w:tcW w:w="544"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效益情况及分析</w:t>
            </w:r>
          </w:p>
        </w:tc>
        <w:tc>
          <w:tcPr>
            <w:tcW w:w="3605" w:type="pct"/>
            <w:gridSpan w:val="11"/>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农产品价格成本调查为国家在宏观调控、农业供给侧结构性改革和农业政策制定中提供数据支撑，并为农业生产经营者提供服务，从而促进农业生产稳步发展。重要商品与服务价格的成本监审工作对进一步完善价格管理，提高价格决策的科学性和透明度，为国家制定价格政策及政府调定价提供可靠的依据。</w:t>
            </w:r>
          </w:p>
        </w:tc>
      </w:tr>
      <w:tr>
        <w:tblPrEx>
          <w:tblCellMar>
            <w:top w:w="0" w:type="dxa"/>
            <w:left w:w="108" w:type="dxa"/>
            <w:bottom w:w="0" w:type="dxa"/>
            <w:right w:w="108" w:type="dxa"/>
          </w:tblCellMar>
        </w:tblPrEx>
        <w:trPr>
          <w:trHeight w:val="890" w:hRule="atLeast"/>
          <w:jc w:val="center"/>
        </w:trPr>
        <w:tc>
          <w:tcPr>
            <w:tcW w:w="305"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p>
        </w:tc>
        <w:tc>
          <w:tcPr>
            <w:tcW w:w="544"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p>
        </w:tc>
        <w:tc>
          <w:tcPr>
            <w:tcW w:w="544"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满意度情况及分析</w:t>
            </w:r>
          </w:p>
        </w:tc>
        <w:tc>
          <w:tcPr>
            <w:tcW w:w="3605" w:type="pct"/>
            <w:gridSpan w:val="11"/>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相关受益人满意度95%以上。</w:t>
            </w:r>
          </w:p>
        </w:tc>
      </w:tr>
      <w:tr>
        <w:tblPrEx>
          <w:tblCellMar>
            <w:top w:w="0" w:type="dxa"/>
            <w:left w:w="108" w:type="dxa"/>
            <w:bottom w:w="0" w:type="dxa"/>
            <w:right w:w="108" w:type="dxa"/>
          </w:tblCellMar>
        </w:tblPrEx>
        <w:trPr>
          <w:trHeight w:val="2240" w:hRule="exact"/>
          <w:jc w:val="center"/>
        </w:trPr>
        <w:tc>
          <w:tcPr>
            <w:tcW w:w="305"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p>
        </w:tc>
        <w:tc>
          <w:tcPr>
            <w:tcW w:w="1089" w:type="pct"/>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主要经验做法</w:t>
            </w:r>
          </w:p>
        </w:tc>
        <w:tc>
          <w:tcPr>
            <w:tcW w:w="3605" w:type="pct"/>
            <w:gridSpan w:val="11"/>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年初制定全年工作计划，要求各人员按要求加强管理，保证资金拨付程序、费用开支范围及标准，报账手续合规，同时加强项目绩效监控，保证资金使用效率。</w:t>
            </w:r>
          </w:p>
        </w:tc>
      </w:tr>
      <w:tr>
        <w:tblPrEx>
          <w:tblCellMar>
            <w:top w:w="0" w:type="dxa"/>
            <w:left w:w="108" w:type="dxa"/>
            <w:bottom w:w="0" w:type="dxa"/>
            <w:right w:w="108" w:type="dxa"/>
          </w:tblCellMar>
        </w:tblPrEx>
        <w:trPr>
          <w:trHeight w:val="4900" w:hRule="exact"/>
          <w:jc w:val="center"/>
        </w:trPr>
        <w:tc>
          <w:tcPr>
            <w:tcW w:w="305"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p>
        </w:tc>
        <w:tc>
          <w:tcPr>
            <w:tcW w:w="1089" w:type="pct"/>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项目管理中存在的</w:t>
            </w:r>
          </w:p>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主要问题及原因分析</w:t>
            </w:r>
          </w:p>
        </w:tc>
        <w:tc>
          <w:tcPr>
            <w:tcW w:w="3605" w:type="pct"/>
            <w:gridSpan w:val="11"/>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在管理方面经验不足，资金使用安排考虑还不够全面，存在经费不足问题。</w:t>
            </w:r>
          </w:p>
        </w:tc>
      </w:tr>
      <w:tr>
        <w:tblPrEx>
          <w:tblCellMar>
            <w:top w:w="0" w:type="dxa"/>
            <w:left w:w="108" w:type="dxa"/>
            <w:bottom w:w="0" w:type="dxa"/>
            <w:right w:w="108" w:type="dxa"/>
          </w:tblCellMar>
        </w:tblPrEx>
        <w:trPr>
          <w:trHeight w:val="2020" w:hRule="exact"/>
          <w:jc w:val="center"/>
        </w:trPr>
        <w:tc>
          <w:tcPr>
            <w:tcW w:w="305"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p>
        </w:tc>
        <w:tc>
          <w:tcPr>
            <w:tcW w:w="1089" w:type="pct"/>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下一步改进措施及</w:t>
            </w:r>
          </w:p>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管理建议</w:t>
            </w:r>
          </w:p>
        </w:tc>
        <w:tc>
          <w:tcPr>
            <w:tcW w:w="3605" w:type="pct"/>
            <w:gridSpan w:val="11"/>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进一步细化工作任务，完善项目资金分配、使用及管理制度，按照职责分工和工作任务合理分配资金。</w:t>
            </w:r>
          </w:p>
        </w:tc>
      </w:tr>
    </w:tbl>
    <w:p>
      <w:pPr>
        <w:numPr>
          <w:ilvl w:val="0"/>
          <w:numId w:val="5"/>
        </w:numPr>
        <w:ind w:left="13" w:leftChars="6" w:firstLine="624" w:firstLineChars="195"/>
        <w:rPr>
          <w:rFonts w:hint="default" w:ascii="仿宋" w:hAnsi="仿宋" w:eastAsia="仿宋"/>
          <w:sz w:val="32"/>
          <w:szCs w:val="32"/>
          <w:lang w:val="en-US" w:eastAsia="zh-CN"/>
        </w:rPr>
      </w:pPr>
      <w:r>
        <w:rPr>
          <w:rFonts w:hint="default" w:ascii="仿宋" w:hAnsi="仿宋" w:eastAsia="仿宋"/>
          <w:sz w:val="32"/>
          <w:szCs w:val="32"/>
          <w:lang w:val="en-US" w:eastAsia="zh-CN"/>
        </w:rPr>
        <w:t>购买第三方成本调查监审服务</w:t>
      </w:r>
      <w:r>
        <w:rPr>
          <w:rFonts w:hint="eastAsia" w:ascii="仿宋" w:hAnsi="仿宋" w:eastAsia="仿宋"/>
          <w:sz w:val="32"/>
          <w:szCs w:val="32"/>
          <w:lang w:val="en-US" w:eastAsia="zh-CN"/>
        </w:rPr>
        <w:t xml:space="preserve">项目绩效自主综述：根据年初设定的绩效目标，项目自评得分为100分。全年预算数为14万元，执行数为14万元，完成预算的100%。项目绩效目标完成情况：已完成年初预期目标。发现的主要问题及原因：在管理方面经验不足，资金使用安排考虑还不够全面，存在经费不足问题。下一步改进措施：今后及时做好项目预算资金使用管理，提高负责管理人员工作业务水平，确保本项目预算任务评价工作水平提升。 </w:t>
      </w:r>
    </w:p>
    <w:tbl>
      <w:tblPr>
        <w:tblStyle w:val="7"/>
        <w:tblW w:w="5000" w:type="pct"/>
        <w:jc w:val="center"/>
        <w:tblLayout w:type="autofit"/>
        <w:tblCellMar>
          <w:top w:w="0" w:type="dxa"/>
          <w:left w:w="108" w:type="dxa"/>
          <w:bottom w:w="0" w:type="dxa"/>
          <w:right w:w="108" w:type="dxa"/>
        </w:tblCellMar>
      </w:tblPr>
      <w:tblGrid>
        <w:gridCol w:w="664"/>
        <w:gridCol w:w="1110"/>
        <w:gridCol w:w="72"/>
        <w:gridCol w:w="1184"/>
        <w:gridCol w:w="829"/>
        <w:gridCol w:w="1283"/>
        <w:gridCol w:w="319"/>
        <w:gridCol w:w="966"/>
        <w:gridCol w:w="962"/>
        <w:gridCol w:w="321"/>
        <w:gridCol w:w="319"/>
        <w:gridCol w:w="483"/>
        <w:gridCol w:w="156"/>
        <w:gridCol w:w="806"/>
        <w:gridCol w:w="806"/>
      </w:tblGrid>
      <w:tr>
        <w:tblPrEx>
          <w:tblCellMar>
            <w:top w:w="0" w:type="dxa"/>
            <w:left w:w="108" w:type="dxa"/>
            <w:bottom w:w="0" w:type="dxa"/>
            <w:right w:w="108" w:type="dxa"/>
          </w:tblCellMar>
        </w:tblPrEx>
        <w:trPr>
          <w:trHeight w:val="649" w:hRule="exact"/>
          <w:jc w:val="center"/>
        </w:trPr>
        <w:tc>
          <w:tcPr>
            <w:tcW w:w="5000" w:type="pct"/>
            <w:gridSpan w:val="15"/>
            <w:tcBorders>
              <w:top w:val="nil"/>
              <w:left w:val="nil"/>
              <w:bottom w:val="nil"/>
              <w:right w:val="nil"/>
            </w:tcBorders>
            <w:vAlign w:val="center"/>
          </w:tcPr>
          <w:p>
            <w:pPr>
              <w:widowControl/>
              <w:spacing w:line="320" w:lineRule="exact"/>
              <w:jc w:val="center"/>
              <w:rPr>
                <w:rFonts w:ascii="宋体" w:hAnsi="宋体" w:eastAsia="宋体" w:cs="宋体"/>
                <w:b/>
                <w:bCs/>
                <w:kern w:val="0"/>
                <w:sz w:val="32"/>
                <w:szCs w:val="32"/>
              </w:rPr>
            </w:pPr>
            <w:r>
              <w:rPr>
                <w:rFonts w:hint="eastAsia" w:ascii="华文中宋" w:hAnsi="华文中宋" w:eastAsia="华文中宋" w:cs="华文中宋"/>
                <w:b/>
                <w:bCs/>
                <w:kern w:val="0"/>
                <w:sz w:val="36"/>
                <w:szCs w:val="36"/>
              </w:rPr>
              <w:t>项目支出绩效自评表</w:t>
            </w:r>
          </w:p>
        </w:tc>
      </w:tr>
      <w:tr>
        <w:tblPrEx>
          <w:tblCellMar>
            <w:top w:w="0" w:type="dxa"/>
            <w:left w:w="108" w:type="dxa"/>
            <w:bottom w:w="0" w:type="dxa"/>
            <w:right w:w="108" w:type="dxa"/>
          </w:tblCellMar>
        </w:tblPrEx>
        <w:trPr>
          <w:trHeight w:val="201" w:hRule="atLeast"/>
          <w:jc w:val="center"/>
        </w:trPr>
        <w:tc>
          <w:tcPr>
            <w:tcW w:w="5000" w:type="pct"/>
            <w:gridSpan w:val="15"/>
            <w:tcBorders>
              <w:top w:val="nil"/>
              <w:left w:val="nil"/>
              <w:bottom w:val="nil"/>
              <w:right w:val="nil"/>
            </w:tcBorders>
          </w:tcPr>
          <w:p>
            <w:pPr>
              <w:widowControl/>
              <w:rPr>
                <w:rFonts w:ascii="宋体" w:hAnsi="宋体" w:eastAsia="宋体" w:cs="宋体"/>
                <w:kern w:val="0"/>
                <w:sz w:val="22"/>
                <w:szCs w:val="22"/>
              </w:rPr>
            </w:pPr>
            <w:r>
              <w:rPr>
                <w:rFonts w:hint="eastAsia" w:ascii="宋体" w:hAnsi="宋体" w:eastAsia="宋体" w:cs="宋体"/>
                <w:kern w:val="0"/>
                <w:sz w:val="22"/>
                <w:szCs w:val="22"/>
              </w:rPr>
              <w:t>填列单位（公章）：                （2021年度）</w:t>
            </w:r>
          </w:p>
        </w:tc>
      </w:tr>
      <w:tr>
        <w:tblPrEx>
          <w:tblCellMar>
            <w:top w:w="0" w:type="dxa"/>
            <w:left w:w="108" w:type="dxa"/>
            <w:bottom w:w="0" w:type="dxa"/>
            <w:right w:w="108" w:type="dxa"/>
          </w:tblCellMar>
        </w:tblPrEx>
        <w:trPr>
          <w:trHeight w:val="320" w:hRule="exact"/>
          <w:jc w:val="center"/>
        </w:trPr>
        <w:tc>
          <w:tcPr>
            <w:tcW w:w="863"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项目名称</w:t>
            </w:r>
          </w:p>
        </w:tc>
        <w:tc>
          <w:tcPr>
            <w:tcW w:w="4136" w:type="pct"/>
            <w:gridSpan w:val="1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购买第三方成本调查监审服务</w:t>
            </w:r>
          </w:p>
        </w:tc>
      </w:tr>
      <w:tr>
        <w:tblPrEx>
          <w:tblCellMar>
            <w:top w:w="0" w:type="dxa"/>
            <w:left w:w="108" w:type="dxa"/>
            <w:bottom w:w="0" w:type="dxa"/>
            <w:right w:w="108" w:type="dxa"/>
          </w:tblCellMar>
        </w:tblPrEx>
        <w:trPr>
          <w:trHeight w:val="380" w:hRule="exact"/>
          <w:jc w:val="center"/>
        </w:trPr>
        <w:tc>
          <w:tcPr>
            <w:tcW w:w="863"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主管部门</w:t>
            </w:r>
          </w:p>
        </w:tc>
        <w:tc>
          <w:tcPr>
            <w:tcW w:w="2263" w:type="pct"/>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大同市发展和改革委员会</w:t>
            </w:r>
          </w:p>
        </w:tc>
        <w:tc>
          <w:tcPr>
            <w:tcW w:w="624"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实施单位</w:t>
            </w:r>
          </w:p>
        </w:tc>
        <w:tc>
          <w:tcPr>
            <w:tcW w:w="1249" w:type="pct"/>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大同市成本调查监审局</w:t>
            </w:r>
          </w:p>
        </w:tc>
      </w:tr>
      <w:tr>
        <w:tblPrEx>
          <w:tblCellMar>
            <w:top w:w="0" w:type="dxa"/>
            <w:left w:w="108" w:type="dxa"/>
            <w:bottom w:w="0" w:type="dxa"/>
            <w:right w:w="108" w:type="dxa"/>
          </w:tblCellMar>
        </w:tblPrEx>
        <w:trPr>
          <w:trHeight w:val="300" w:hRule="exact"/>
          <w:jc w:val="center"/>
        </w:trPr>
        <w:tc>
          <w:tcPr>
            <w:tcW w:w="863"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rPr>
              <w:t>项目资金</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（万元）</w:t>
            </w:r>
          </w:p>
        </w:tc>
        <w:tc>
          <w:tcPr>
            <w:tcW w:w="1014" w:type="pct"/>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24"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年初预算数</w:t>
            </w:r>
          </w:p>
        </w:tc>
        <w:tc>
          <w:tcPr>
            <w:tcW w:w="625"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全年预算数</w:t>
            </w:r>
          </w:p>
        </w:tc>
        <w:tc>
          <w:tcPr>
            <w:tcW w:w="624"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全年执行数</w:t>
            </w:r>
          </w:p>
        </w:tc>
        <w:tc>
          <w:tcPr>
            <w:tcW w:w="390"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468"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执行率</w:t>
            </w:r>
          </w:p>
        </w:tc>
        <w:tc>
          <w:tcPr>
            <w:tcW w:w="391"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863"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14" w:type="pct"/>
            <w:gridSpan w:val="3"/>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年度资金总额</w:t>
            </w:r>
          </w:p>
        </w:tc>
        <w:tc>
          <w:tcPr>
            <w:tcW w:w="624"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14</w:t>
            </w:r>
          </w:p>
        </w:tc>
        <w:tc>
          <w:tcPr>
            <w:tcW w:w="625"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14</w:t>
            </w:r>
          </w:p>
        </w:tc>
        <w:tc>
          <w:tcPr>
            <w:tcW w:w="624"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14</w:t>
            </w:r>
          </w:p>
        </w:tc>
        <w:tc>
          <w:tcPr>
            <w:tcW w:w="390"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468"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100%</w:t>
            </w:r>
          </w:p>
        </w:tc>
        <w:tc>
          <w:tcPr>
            <w:tcW w:w="391"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r>
      <w:tr>
        <w:tblPrEx>
          <w:tblCellMar>
            <w:top w:w="0" w:type="dxa"/>
            <w:left w:w="108" w:type="dxa"/>
            <w:bottom w:w="0" w:type="dxa"/>
            <w:right w:w="108" w:type="dxa"/>
          </w:tblCellMar>
        </w:tblPrEx>
        <w:trPr>
          <w:trHeight w:val="300" w:hRule="exact"/>
          <w:jc w:val="center"/>
        </w:trPr>
        <w:tc>
          <w:tcPr>
            <w:tcW w:w="863"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14" w:type="pct"/>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其中：当年财政拨款</w:t>
            </w:r>
          </w:p>
        </w:tc>
        <w:tc>
          <w:tcPr>
            <w:tcW w:w="624"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14</w:t>
            </w:r>
          </w:p>
        </w:tc>
        <w:tc>
          <w:tcPr>
            <w:tcW w:w="625"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24"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390"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468"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391"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00" w:hRule="exact"/>
          <w:jc w:val="center"/>
        </w:trPr>
        <w:tc>
          <w:tcPr>
            <w:tcW w:w="863"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14" w:type="pct"/>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624"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25"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24"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390"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468"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391"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00" w:hRule="exact"/>
          <w:jc w:val="center"/>
        </w:trPr>
        <w:tc>
          <w:tcPr>
            <w:tcW w:w="863"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14" w:type="pct"/>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624"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25"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24"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390"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468"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391"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00" w:hRule="exact"/>
          <w:jc w:val="center"/>
        </w:trPr>
        <w:tc>
          <w:tcPr>
            <w:tcW w:w="323" w:type="pct"/>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年度总体目标</w:t>
            </w:r>
          </w:p>
        </w:tc>
        <w:tc>
          <w:tcPr>
            <w:tcW w:w="2803" w:type="pct"/>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预期目标</w:t>
            </w:r>
          </w:p>
        </w:tc>
        <w:tc>
          <w:tcPr>
            <w:tcW w:w="1873" w:type="pct"/>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323"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803" w:type="pct"/>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5"/>
                <w:szCs w:val="15"/>
              </w:rPr>
            </w:pPr>
            <w:r>
              <w:rPr>
                <w:rFonts w:hint="eastAsia" w:ascii="宋体" w:hAnsi="宋体" w:eastAsia="宋体" w:cs="宋体"/>
                <w:kern w:val="0"/>
                <w:sz w:val="15"/>
                <w:szCs w:val="15"/>
              </w:rPr>
              <w:t>通过该项目的实施，凭借具有会计、审计等专业优势的第三方机构或人员参与审核成本，剔除不合理费用，为科学定价提供有效保证。</w:t>
            </w:r>
          </w:p>
        </w:tc>
        <w:tc>
          <w:tcPr>
            <w:tcW w:w="1873" w:type="pct"/>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已完成年初预期目标</w:t>
            </w:r>
          </w:p>
        </w:tc>
      </w:tr>
      <w:tr>
        <w:tblPrEx>
          <w:tblCellMar>
            <w:top w:w="0" w:type="dxa"/>
            <w:left w:w="108" w:type="dxa"/>
            <w:bottom w:w="0" w:type="dxa"/>
            <w:right w:w="108" w:type="dxa"/>
          </w:tblCellMar>
        </w:tblPrEx>
        <w:trPr>
          <w:trHeight w:val="533" w:hRule="exact"/>
          <w:jc w:val="center"/>
        </w:trPr>
        <w:tc>
          <w:tcPr>
            <w:tcW w:w="323" w:type="pct"/>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rPr>
              <w:t>绩</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rPr>
              <w:t>效</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rPr>
              <w:t>指</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标</w:t>
            </w:r>
          </w:p>
        </w:tc>
        <w:tc>
          <w:tcPr>
            <w:tcW w:w="539"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一级指标</w:t>
            </w:r>
          </w:p>
        </w:tc>
        <w:tc>
          <w:tcPr>
            <w:tcW w:w="611"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二级指标</w:t>
            </w:r>
          </w:p>
        </w:tc>
        <w:tc>
          <w:tcPr>
            <w:tcW w:w="1182" w:type="pct"/>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三级指标</w:t>
            </w:r>
          </w:p>
        </w:tc>
        <w:tc>
          <w:tcPr>
            <w:tcW w:w="468"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指标值</w:t>
            </w:r>
          </w:p>
        </w:tc>
        <w:tc>
          <w:tcPr>
            <w:tcW w:w="468"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完成值</w:t>
            </w:r>
          </w:p>
        </w:tc>
        <w:tc>
          <w:tcPr>
            <w:tcW w:w="311"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311"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c>
          <w:tcPr>
            <w:tcW w:w="781"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CellMar>
            <w:top w:w="0" w:type="dxa"/>
            <w:left w:w="108" w:type="dxa"/>
            <w:bottom w:w="0" w:type="dxa"/>
            <w:right w:w="108" w:type="dxa"/>
          </w:tblCellMar>
        </w:tblPrEx>
        <w:trPr>
          <w:trHeight w:val="465" w:hRule="exact"/>
          <w:jc w:val="center"/>
        </w:trPr>
        <w:tc>
          <w:tcPr>
            <w:tcW w:w="323"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39" w:type="pct"/>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产出指标</w:t>
            </w:r>
          </w:p>
        </w:tc>
        <w:tc>
          <w:tcPr>
            <w:tcW w:w="611" w:type="pct"/>
            <w:gridSpan w:val="2"/>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数量指标</w:t>
            </w:r>
          </w:p>
        </w:tc>
        <w:tc>
          <w:tcPr>
            <w:tcW w:w="1182" w:type="pct"/>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聘请符合资质的第三方服务公司</w:t>
            </w:r>
            <w:r>
              <w:rPr>
                <w:rFonts w:hint="eastAsia" w:ascii="宋体" w:hAnsi="宋体" w:eastAsia="宋体" w:cs="宋体"/>
                <w:color w:val="000000"/>
                <w:kern w:val="0"/>
                <w:sz w:val="18"/>
                <w:szCs w:val="18"/>
              </w:rPr>
              <w:tab/>
            </w:r>
          </w:p>
        </w:tc>
        <w:tc>
          <w:tcPr>
            <w:tcW w:w="468"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1家</w:t>
            </w:r>
          </w:p>
        </w:tc>
        <w:tc>
          <w:tcPr>
            <w:tcW w:w="468"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1家</w:t>
            </w:r>
          </w:p>
        </w:tc>
        <w:tc>
          <w:tcPr>
            <w:tcW w:w="311"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311"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781"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323"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39"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11" w:type="pct"/>
            <w:gridSpan w:val="2"/>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质量指标</w:t>
            </w:r>
          </w:p>
        </w:tc>
        <w:tc>
          <w:tcPr>
            <w:tcW w:w="1182" w:type="pct"/>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拨款完成率</w:t>
            </w:r>
          </w:p>
        </w:tc>
        <w:tc>
          <w:tcPr>
            <w:tcW w:w="468"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=100%</w:t>
            </w:r>
            <w:r>
              <w:rPr>
                <w:rFonts w:hint="eastAsia" w:ascii="宋体" w:hAnsi="宋体" w:eastAsia="宋体" w:cs="宋体"/>
                <w:kern w:val="0"/>
                <w:sz w:val="18"/>
                <w:szCs w:val="18"/>
              </w:rPr>
              <w:tab/>
            </w:r>
          </w:p>
        </w:tc>
        <w:tc>
          <w:tcPr>
            <w:tcW w:w="468"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100%</w:t>
            </w:r>
          </w:p>
        </w:tc>
        <w:tc>
          <w:tcPr>
            <w:tcW w:w="311"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20</w:t>
            </w:r>
          </w:p>
        </w:tc>
        <w:tc>
          <w:tcPr>
            <w:tcW w:w="311"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20</w:t>
            </w:r>
          </w:p>
        </w:tc>
        <w:tc>
          <w:tcPr>
            <w:tcW w:w="781"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323"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39"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11" w:type="pct"/>
            <w:gridSpan w:val="2"/>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时效指标</w:t>
            </w:r>
          </w:p>
        </w:tc>
        <w:tc>
          <w:tcPr>
            <w:tcW w:w="1182" w:type="pct"/>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及时完成</w:t>
            </w:r>
          </w:p>
        </w:tc>
        <w:tc>
          <w:tcPr>
            <w:tcW w:w="468"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及时</w:t>
            </w:r>
          </w:p>
        </w:tc>
        <w:tc>
          <w:tcPr>
            <w:tcW w:w="468"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及时</w:t>
            </w:r>
          </w:p>
        </w:tc>
        <w:tc>
          <w:tcPr>
            <w:tcW w:w="311"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311"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781"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rPr>
          <w:trHeight w:val="300" w:hRule="exact"/>
          <w:jc w:val="center"/>
        </w:trPr>
        <w:tc>
          <w:tcPr>
            <w:tcW w:w="323"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39"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11" w:type="pct"/>
            <w:gridSpan w:val="2"/>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成本指标</w:t>
            </w:r>
          </w:p>
        </w:tc>
        <w:tc>
          <w:tcPr>
            <w:tcW w:w="1182" w:type="pct"/>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成本费用小于全年预算</w:t>
            </w:r>
          </w:p>
        </w:tc>
        <w:tc>
          <w:tcPr>
            <w:tcW w:w="468"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&lt;=14万</w:t>
            </w:r>
          </w:p>
        </w:tc>
        <w:tc>
          <w:tcPr>
            <w:tcW w:w="468" w:type="pct"/>
            <w:tcBorders>
              <w:top w:val="nil"/>
              <w:left w:val="nil"/>
              <w:bottom w:val="single" w:color="auto" w:sz="4" w:space="0"/>
              <w:right w:val="single" w:color="auto" w:sz="4" w:space="0"/>
            </w:tcBorders>
            <w:vAlign w:val="center"/>
          </w:tcPr>
          <w:p>
            <w:pPr>
              <w:widowControl/>
              <w:spacing w:line="240" w:lineRule="exact"/>
              <w:ind w:firstLine="90" w:firstLineChars="50"/>
              <w:rPr>
                <w:rFonts w:ascii="宋体" w:hAnsi="宋体" w:eastAsia="宋体" w:cs="宋体"/>
                <w:kern w:val="0"/>
                <w:sz w:val="18"/>
                <w:szCs w:val="18"/>
              </w:rPr>
            </w:pPr>
            <w:r>
              <w:rPr>
                <w:rFonts w:hint="eastAsia" w:ascii="宋体" w:hAnsi="宋体" w:eastAsia="宋体" w:cs="宋体"/>
                <w:kern w:val="0"/>
                <w:sz w:val="18"/>
                <w:szCs w:val="18"/>
              </w:rPr>
              <w:t>14万</w:t>
            </w:r>
          </w:p>
        </w:tc>
        <w:tc>
          <w:tcPr>
            <w:tcW w:w="311"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20</w:t>
            </w:r>
          </w:p>
        </w:tc>
        <w:tc>
          <w:tcPr>
            <w:tcW w:w="311"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20</w:t>
            </w:r>
          </w:p>
        </w:tc>
        <w:tc>
          <w:tcPr>
            <w:tcW w:w="781"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570" w:hRule="exact"/>
          <w:jc w:val="center"/>
        </w:trPr>
        <w:tc>
          <w:tcPr>
            <w:tcW w:w="323"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39" w:type="pct"/>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效益指标</w:t>
            </w:r>
          </w:p>
        </w:tc>
        <w:tc>
          <w:tcPr>
            <w:tcW w:w="611" w:type="pct"/>
            <w:gridSpan w:val="2"/>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经济效益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182" w:type="pct"/>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p>
        </w:tc>
        <w:tc>
          <w:tcPr>
            <w:tcW w:w="468"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468"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311"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311"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781"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540" w:hRule="exact"/>
          <w:jc w:val="center"/>
        </w:trPr>
        <w:tc>
          <w:tcPr>
            <w:tcW w:w="323"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39"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11" w:type="pct"/>
            <w:gridSpan w:val="2"/>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社会效益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182" w:type="pct"/>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剔除不合理费用，为科学定价提供有效保证</w:t>
            </w:r>
            <w:r>
              <w:rPr>
                <w:rFonts w:hint="eastAsia" w:ascii="宋体" w:hAnsi="宋体" w:eastAsia="宋体" w:cs="宋体"/>
                <w:color w:val="000000"/>
                <w:kern w:val="0"/>
                <w:sz w:val="18"/>
                <w:szCs w:val="18"/>
              </w:rPr>
              <w:tab/>
            </w:r>
          </w:p>
        </w:tc>
        <w:tc>
          <w:tcPr>
            <w:tcW w:w="468"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提供</w:t>
            </w:r>
          </w:p>
        </w:tc>
        <w:tc>
          <w:tcPr>
            <w:tcW w:w="468"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提供</w:t>
            </w:r>
          </w:p>
        </w:tc>
        <w:tc>
          <w:tcPr>
            <w:tcW w:w="311"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20</w:t>
            </w:r>
          </w:p>
        </w:tc>
        <w:tc>
          <w:tcPr>
            <w:tcW w:w="311"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20</w:t>
            </w:r>
          </w:p>
        </w:tc>
        <w:tc>
          <w:tcPr>
            <w:tcW w:w="781"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750" w:hRule="exact"/>
          <w:jc w:val="center"/>
        </w:trPr>
        <w:tc>
          <w:tcPr>
            <w:tcW w:w="323"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39"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11" w:type="pct"/>
            <w:gridSpan w:val="2"/>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生态效益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182" w:type="pct"/>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p>
        </w:tc>
        <w:tc>
          <w:tcPr>
            <w:tcW w:w="468"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468"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311"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311"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781"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615" w:hRule="exact"/>
          <w:jc w:val="center"/>
        </w:trPr>
        <w:tc>
          <w:tcPr>
            <w:tcW w:w="323"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39"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611" w:type="pct"/>
            <w:gridSpan w:val="2"/>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可持续影响指标</w:t>
            </w:r>
          </w:p>
        </w:tc>
        <w:tc>
          <w:tcPr>
            <w:tcW w:w="1182" w:type="pct"/>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p>
        </w:tc>
        <w:tc>
          <w:tcPr>
            <w:tcW w:w="468"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468"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311"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311"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781"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855" w:hRule="exact"/>
          <w:jc w:val="center"/>
        </w:trPr>
        <w:tc>
          <w:tcPr>
            <w:tcW w:w="323" w:type="pct"/>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39" w:type="pc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满意度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611" w:type="pct"/>
            <w:gridSpan w:val="2"/>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1182" w:type="pct"/>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相关受益人满意度</w:t>
            </w:r>
          </w:p>
        </w:tc>
        <w:tc>
          <w:tcPr>
            <w:tcW w:w="468"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≥95%</w:t>
            </w:r>
          </w:p>
        </w:tc>
        <w:tc>
          <w:tcPr>
            <w:tcW w:w="468" w:type="pct"/>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95%</w:t>
            </w:r>
          </w:p>
        </w:tc>
        <w:tc>
          <w:tcPr>
            <w:tcW w:w="311"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311"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781"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3594" w:type="pct"/>
            <w:gridSpan w:val="9"/>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311"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311" w:type="pct"/>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781"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958" w:hRule="atLeast"/>
          <w:jc w:val="center"/>
        </w:trPr>
        <w:tc>
          <w:tcPr>
            <w:tcW w:w="323"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项目绩效分析</w:t>
            </w:r>
          </w:p>
        </w:tc>
        <w:tc>
          <w:tcPr>
            <w:tcW w:w="575"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自评结果分析</w:t>
            </w:r>
          </w:p>
        </w:tc>
        <w:tc>
          <w:tcPr>
            <w:tcW w:w="57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项目实施和预算执行情况及分析</w:t>
            </w:r>
          </w:p>
        </w:tc>
        <w:tc>
          <w:tcPr>
            <w:tcW w:w="3524" w:type="pct"/>
            <w:gridSpan w:val="11"/>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通过该项目的实施，凭借具有会计、审计等专业优势的第三方机构或人员参与审核成本，剔除不合理费用，为科学定价提供有效保证。已完成年初预算任务。</w:t>
            </w:r>
          </w:p>
        </w:tc>
      </w:tr>
      <w:tr>
        <w:tblPrEx>
          <w:tblCellMar>
            <w:top w:w="0" w:type="dxa"/>
            <w:left w:w="108" w:type="dxa"/>
            <w:bottom w:w="0" w:type="dxa"/>
            <w:right w:w="108" w:type="dxa"/>
          </w:tblCellMar>
        </w:tblPrEx>
        <w:trPr>
          <w:trHeight w:val="844" w:hRule="atLeast"/>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p>
        </w:tc>
        <w:tc>
          <w:tcPr>
            <w:tcW w:w="575"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p>
        </w:tc>
        <w:tc>
          <w:tcPr>
            <w:tcW w:w="57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产出情况及分析</w:t>
            </w:r>
          </w:p>
        </w:tc>
        <w:tc>
          <w:tcPr>
            <w:tcW w:w="3524" w:type="pct"/>
            <w:gridSpan w:val="11"/>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聘请符合资质的第三方服务公司完成成本监审任务，出具成本审核报告。</w:t>
            </w:r>
            <w:r>
              <w:rPr>
                <w:rFonts w:hint="eastAsia" w:ascii="宋体" w:hAnsi="宋体" w:eastAsia="宋体" w:cs="宋体"/>
                <w:color w:val="000000"/>
                <w:kern w:val="0"/>
                <w:sz w:val="18"/>
                <w:szCs w:val="18"/>
              </w:rPr>
              <w:tab/>
            </w:r>
          </w:p>
        </w:tc>
      </w:tr>
      <w:tr>
        <w:tblPrEx>
          <w:tblCellMar>
            <w:top w:w="0" w:type="dxa"/>
            <w:left w:w="108" w:type="dxa"/>
            <w:bottom w:w="0" w:type="dxa"/>
            <w:right w:w="108" w:type="dxa"/>
          </w:tblCellMar>
        </w:tblPrEx>
        <w:trPr>
          <w:trHeight w:val="842" w:hRule="atLeast"/>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p>
        </w:tc>
        <w:tc>
          <w:tcPr>
            <w:tcW w:w="575"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p>
        </w:tc>
        <w:tc>
          <w:tcPr>
            <w:tcW w:w="57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效益情况及分析</w:t>
            </w:r>
          </w:p>
        </w:tc>
        <w:tc>
          <w:tcPr>
            <w:tcW w:w="3524" w:type="pct"/>
            <w:gridSpan w:val="11"/>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通过政府购买服务，引入具有会计、审计等专业优势的第三方机构或人员参与审核成本，剔除不合理费用，为科学定价提供有效保证。</w:t>
            </w:r>
          </w:p>
        </w:tc>
      </w:tr>
      <w:tr>
        <w:tblPrEx>
          <w:tblCellMar>
            <w:top w:w="0" w:type="dxa"/>
            <w:left w:w="108" w:type="dxa"/>
            <w:bottom w:w="0" w:type="dxa"/>
            <w:right w:w="108" w:type="dxa"/>
          </w:tblCellMar>
        </w:tblPrEx>
        <w:trPr>
          <w:trHeight w:val="890" w:hRule="atLeast"/>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p>
        </w:tc>
        <w:tc>
          <w:tcPr>
            <w:tcW w:w="575"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p>
        </w:tc>
        <w:tc>
          <w:tcPr>
            <w:tcW w:w="57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满意度情况及分析</w:t>
            </w:r>
          </w:p>
        </w:tc>
        <w:tc>
          <w:tcPr>
            <w:tcW w:w="3524" w:type="pct"/>
            <w:gridSpan w:val="11"/>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相关受益人满意度95%以上。</w:t>
            </w:r>
          </w:p>
        </w:tc>
      </w:tr>
      <w:tr>
        <w:tblPrEx>
          <w:tblCellMar>
            <w:top w:w="0" w:type="dxa"/>
            <w:left w:w="108" w:type="dxa"/>
            <w:bottom w:w="0" w:type="dxa"/>
            <w:right w:w="108" w:type="dxa"/>
          </w:tblCellMar>
        </w:tblPrEx>
        <w:trPr>
          <w:trHeight w:val="2240" w:hRule="exact"/>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p>
        </w:tc>
        <w:tc>
          <w:tcPr>
            <w:tcW w:w="1151" w:type="pct"/>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主要经验做法</w:t>
            </w:r>
          </w:p>
        </w:tc>
        <w:tc>
          <w:tcPr>
            <w:tcW w:w="3524" w:type="pct"/>
            <w:gridSpan w:val="11"/>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明确任务，签订协议，落实专人负责，对照要求逐项检查，做到主动及时查找，重点检查项目预算费用和实际使用费用情况。</w:t>
            </w:r>
          </w:p>
        </w:tc>
      </w:tr>
      <w:tr>
        <w:tblPrEx>
          <w:tblCellMar>
            <w:top w:w="0" w:type="dxa"/>
            <w:left w:w="108" w:type="dxa"/>
            <w:bottom w:w="0" w:type="dxa"/>
            <w:right w:w="108" w:type="dxa"/>
          </w:tblCellMar>
        </w:tblPrEx>
        <w:trPr>
          <w:trHeight w:val="1418" w:hRule="exact"/>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p>
        </w:tc>
        <w:tc>
          <w:tcPr>
            <w:tcW w:w="1151" w:type="pct"/>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项目管理中存在的</w:t>
            </w:r>
          </w:p>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主要问题及原因分析</w:t>
            </w:r>
          </w:p>
        </w:tc>
        <w:tc>
          <w:tcPr>
            <w:tcW w:w="3524" w:type="pct"/>
            <w:gridSpan w:val="11"/>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rPr>
              <w:t xml:space="preserve">在管理方面经验不足，资金使用安排考虑还不够全面，存在经费不足问题。 </w:t>
            </w:r>
          </w:p>
          <w:p>
            <w:pPr>
              <w:widowControl/>
              <w:spacing w:line="240" w:lineRule="exact"/>
              <w:jc w:val="center"/>
              <w:rPr>
                <w:rFonts w:hint="eastAsia" w:ascii="宋体" w:hAnsi="宋体" w:eastAsia="宋体" w:cs="宋体"/>
                <w:kern w:val="0"/>
                <w:sz w:val="18"/>
                <w:szCs w:val="18"/>
                <w:lang w:eastAsia="zh-CN"/>
              </w:rPr>
            </w:pPr>
          </w:p>
        </w:tc>
      </w:tr>
      <w:tr>
        <w:tblPrEx>
          <w:tblCellMar>
            <w:top w:w="0" w:type="dxa"/>
            <w:left w:w="108" w:type="dxa"/>
            <w:bottom w:w="0" w:type="dxa"/>
            <w:right w:w="108" w:type="dxa"/>
          </w:tblCellMar>
        </w:tblPrEx>
        <w:trPr>
          <w:trHeight w:val="2020" w:hRule="exact"/>
          <w:jc w:val="center"/>
        </w:trPr>
        <w:tc>
          <w:tcPr>
            <w:tcW w:w="323"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p>
        </w:tc>
        <w:tc>
          <w:tcPr>
            <w:tcW w:w="1151" w:type="pct"/>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下一步改进措施及</w:t>
            </w:r>
          </w:p>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管理建议</w:t>
            </w:r>
          </w:p>
        </w:tc>
        <w:tc>
          <w:tcPr>
            <w:tcW w:w="3524" w:type="pct"/>
            <w:gridSpan w:val="11"/>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今后及时做好项目预算资金使用管理，提高负责管理人员工作业务水平，确保本项目预算任务评价工作水平提升。 </w:t>
            </w:r>
          </w:p>
          <w:p>
            <w:pPr>
              <w:widowControl/>
              <w:spacing w:line="240" w:lineRule="exact"/>
              <w:jc w:val="center"/>
              <w:rPr>
                <w:rFonts w:ascii="宋体" w:hAnsi="宋体" w:eastAsia="宋体" w:cs="宋体"/>
                <w:kern w:val="0"/>
                <w:sz w:val="18"/>
                <w:szCs w:val="18"/>
              </w:rPr>
            </w:pPr>
          </w:p>
        </w:tc>
      </w:tr>
    </w:tbl>
    <w:p>
      <w:pPr>
        <w:numPr>
          <w:ilvl w:val="0"/>
          <w:numId w:val="0"/>
        </w:numPr>
        <w:ind w:leftChars="201"/>
        <w:rPr>
          <w:rFonts w:hint="default" w:ascii="仿宋" w:hAnsi="仿宋" w:eastAsia="仿宋"/>
          <w:sz w:val="32"/>
          <w:szCs w:val="32"/>
          <w:lang w:val="en-US" w:eastAsia="zh-CN"/>
        </w:rPr>
      </w:pPr>
    </w:p>
    <w:p>
      <w:pPr>
        <w:numPr>
          <w:ilvl w:val="0"/>
          <w:numId w:val="4"/>
        </w:numPr>
        <w:ind w:left="0" w:leftChars="0" w:firstLine="659" w:firstLineChars="206"/>
        <w:rPr>
          <w:rFonts w:hint="default" w:ascii="仿宋" w:hAnsi="仿宋" w:eastAsia="仿宋"/>
          <w:sz w:val="32"/>
          <w:szCs w:val="32"/>
          <w:lang w:val="en-US" w:eastAsia="zh-CN"/>
        </w:rPr>
      </w:pPr>
      <w:r>
        <w:rPr>
          <w:rFonts w:hint="eastAsia" w:ascii="仿宋" w:hAnsi="仿宋" w:eastAsia="仿宋"/>
          <w:sz w:val="32"/>
          <w:szCs w:val="32"/>
          <w:lang w:val="en-US" w:eastAsia="zh-CN"/>
        </w:rPr>
        <w:t>部门评价项目绩效评价结果。</w:t>
      </w:r>
    </w:p>
    <w:p>
      <w:pPr>
        <w:numPr>
          <w:ilvl w:val="0"/>
          <w:numId w:val="0"/>
        </w:numPr>
        <w:ind w:left="0" w:leftChars="0"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我单位本年度未委托第三方机构开展重点绩效评价。</w:t>
      </w:r>
    </w:p>
    <w:p>
      <w:pPr>
        <w:pStyle w:val="10"/>
        <w:numPr>
          <w:ilvl w:val="0"/>
          <w:numId w:val="3"/>
        </w:numPr>
        <w:ind w:firstLineChars="0"/>
        <w:rPr>
          <w:rFonts w:ascii="仿宋" w:hAnsi="仿宋" w:eastAsia="仿宋"/>
          <w:sz w:val="32"/>
          <w:szCs w:val="32"/>
        </w:rPr>
      </w:pPr>
      <w:r>
        <w:rPr>
          <w:rFonts w:hint="eastAsia" w:ascii="仿宋" w:hAnsi="仿宋" w:eastAsia="仿宋"/>
          <w:sz w:val="32"/>
          <w:szCs w:val="32"/>
        </w:rPr>
        <w:t>其他需要说明的情况</w:t>
      </w:r>
    </w:p>
    <w:p>
      <w:pPr>
        <w:ind w:left="660"/>
        <w:rPr>
          <w:rFonts w:ascii="仿宋" w:hAnsi="仿宋" w:eastAsia="仿宋"/>
          <w:sz w:val="32"/>
          <w:szCs w:val="32"/>
        </w:rPr>
      </w:pPr>
      <w:r>
        <w:rPr>
          <w:rFonts w:hint="eastAsia" w:ascii="仿宋" w:hAnsi="仿宋" w:eastAsia="仿宋"/>
          <w:sz w:val="32"/>
          <w:szCs w:val="32"/>
        </w:rPr>
        <w:t>无</w:t>
      </w:r>
    </w:p>
    <w:p>
      <w:pPr>
        <w:pStyle w:val="2"/>
      </w:pPr>
      <w:bookmarkStart w:id="27" w:name="_Toc78382372"/>
      <w:bookmarkStart w:id="28" w:name="_Toc8983"/>
      <w:r>
        <w:rPr>
          <w:rFonts w:hint="eastAsia"/>
        </w:rPr>
        <w:t>第四部分 名词解释</w:t>
      </w:r>
      <w:bookmarkEnd w:id="27"/>
      <w:bookmarkEnd w:id="28"/>
    </w:p>
    <w:p>
      <w:pPr>
        <w:ind w:firstLine="659" w:firstLineChars="206"/>
        <w:rPr>
          <w:rFonts w:hint="eastAsia" w:ascii="仿宋" w:hAnsi="仿宋" w:eastAsia="仿宋"/>
          <w:sz w:val="32"/>
          <w:szCs w:val="32"/>
        </w:rPr>
      </w:pPr>
      <w:r>
        <w:rPr>
          <w:rFonts w:hint="eastAsia" w:ascii="仿宋" w:hAnsi="仿宋" w:eastAsia="仿宋"/>
          <w:sz w:val="32"/>
          <w:szCs w:val="32"/>
          <w:lang w:val="en-US" w:eastAsia="zh-CN"/>
        </w:rPr>
        <w:t>一、</w:t>
      </w:r>
      <w:r>
        <w:rPr>
          <w:rFonts w:hint="eastAsia" w:ascii="仿宋" w:hAnsi="仿宋" w:eastAsia="仿宋"/>
          <w:sz w:val="32"/>
          <w:szCs w:val="32"/>
        </w:rPr>
        <w:t>财政拨款收入：指单位从同级财政部门取得的财政预算资金。</w:t>
      </w:r>
    </w:p>
    <w:p>
      <w:pPr>
        <w:ind w:firstLine="659" w:firstLineChars="206"/>
        <w:rPr>
          <w:rFonts w:hint="eastAsia" w:ascii="仿宋" w:hAnsi="仿宋" w:eastAsia="仿宋"/>
          <w:sz w:val="32"/>
          <w:szCs w:val="32"/>
        </w:rPr>
      </w:pPr>
      <w:r>
        <w:rPr>
          <w:rFonts w:hint="eastAsia" w:ascii="仿宋" w:hAnsi="仿宋" w:eastAsia="仿宋"/>
          <w:sz w:val="32"/>
          <w:szCs w:val="32"/>
          <w:lang w:val="en-US" w:eastAsia="zh-CN"/>
        </w:rPr>
        <w:t>二、</w:t>
      </w:r>
      <w:r>
        <w:rPr>
          <w:rFonts w:hint="eastAsia" w:ascii="仿宋" w:hAnsi="仿宋" w:eastAsia="仿宋"/>
          <w:sz w:val="32"/>
          <w:szCs w:val="32"/>
        </w:rPr>
        <w:t>事业收入：指事业单位开展专业业务活动及辅助活动取得的收入。</w:t>
      </w:r>
    </w:p>
    <w:p>
      <w:pPr>
        <w:ind w:firstLine="659" w:firstLineChars="206"/>
        <w:rPr>
          <w:rFonts w:hint="eastAsia" w:ascii="仿宋" w:hAnsi="仿宋" w:eastAsia="仿宋"/>
          <w:sz w:val="32"/>
          <w:szCs w:val="32"/>
        </w:rPr>
      </w:pPr>
      <w:r>
        <w:rPr>
          <w:rFonts w:hint="eastAsia" w:ascii="仿宋" w:hAnsi="仿宋" w:eastAsia="仿宋"/>
          <w:sz w:val="32"/>
          <w:szCs w:val="32"/>
          <w:lang w:val="en-US" w:eastAsia="zh-CN"/>
        </w:rPr>
        <w:t>三、</w:t>
      </w:r>
      <w:r>
        <w:rPr>
          <w:rFonts w:hint="eastAsia" w:ascii="仿宋" w:hAnsi="仿宋" w:eastAsia="仿宋"/>
          <w:sz w:val="32"/>
          <w:szCs w:val="32"/>
        </w:rPr>
        <w:t>经营收入：指事业单位在专业业务活动及其辅助活动之外开展非独立核算经营活动取得的收入。</w:t>
      </w:r>
    </w:p>
    <w:p>
      <w:pPr>
        <w:ind w:firstLine="659" w:firstLineChars="206"/>
        <w:rPr>
          <w:rFonts w:hint="eastAsia" w:ascii="仿宋" w:hAnsi="仿宋" w:eastAsia="仿宋"/>
          <w:sz w:val="32"/>
          <w:szCs w:val="32"/>
        </w:rPr>
      </w:pPr>
      <w:r>
        <w:rPr>
          <w:rFonts w:hint="eastAsia" w:ascii="仿宋" w:hAnsi="仿宋" w:eastAsia="仿宋"/>
          <w:sz w:val="32"/>
          <w:szCs w:val="32"/>
          <w:lang w:val="en-US" w:eastAsia="zh-CN"/>
        </w:rPr>
        <w:t>四、</w:t>
      </w:r>
      <w:r>
        <w:rPr>
          <w:rFonts w:hint="eastAsia" w:ascii="仿宋" w:hAnsi="仿宋" w:eastAsia="仿宋"/>
          <w:sz w:val="32"/>
          <w:szCs w:val="32"/>
        </w:rPr>
        <w:t>其他收入：指单位取得的除上述收入以外的各项收入。主要是按规定动用的售房收入、存款利息收入等。</w:t>
      </w:r>
    </w:p>
    <w:p>
      <w:pPr>
        <w:pStyle w:val="16"/>
        <w:ind w:left="0" w:leftChars="0" w:firstLine="640" w:firstLineChars="200"/>
        <w:rPr>
          <w:rFonts w:hint="default" w:eastAsia="仿宋"/>
          <w:lang w:val="en-US" w:eastAsia="zh-CN"/>
        </w:rPr>
      </w:pPr>
      <w:r>
        <w:rPr>
          <w:rFonts w:hint="eastAsia" w:ascii="仿宋" w:hAnsi="仿宋" w:eastAsia="仿宋"/>
          <w:sz w:val="32"/>
          <w:szCs w:val="32"/>
          <w:lang w:val="en-US" w:eastAsia="zh-CN"/>
        </w:rPr>
        <w:t>五、使用非财政拨款结余：指事业单位使用以前年度积累的非财政拨款结余弥补当年收支差额的金额。</w:t>
      </w:r>
    </w:p>
    <w:p>
      <w:pPr>
        <w:ind w:firstLine="659" w:firstLineChars="206"/>
        <w:rPr>
          <w:rFonts w:hint="eastAsia" w:ascii="仿宋" w:hAnsi="仿宋" w:eastAsia="仿宋"/>
          <w:sz w:val="32"/>
          <w:szCs w:val="32"/>
        </w:rPr>
      </w:pPr>
      <w:r>
        <w:rPr>
          <w:rFonts w:hint="eastAsia" w:ascii="仿宋" w:hAnsi="仿宋" w:eastAsia="仿宋"/>
          <w:sz w:val="32"/>
          <w:szCs w:val="32"/>
          <w:lang w:val="en-US" w:eastAsia="zh-CN"/>
        </w:rPr>
        <w:t>六、</w:t>
      </w:r>
      <w:r>
        <w:rPr>
          <w:rFonts w:hint="eastAsia" w:ascii="仿宋" w:hAnsi="仿宋" w:eastAsia="仿宋"/>
          <w:sz w:val="32"/>
          <w:szCs w:val="32"/>
        </w:rPr>
        <w:t>年初结转和结余：指单位以前年度尚未完成、结转到本年</w:t>
      </w:r>
      <w:r>
        <w:rPr>
          <w:rFonts w:hint="eastAsia" w:ascii="仿宋" w:hAnsi="仿宋" w:eastAsia="仿宋"/>
          <w:sz w:val="32"/>
          <w:szCs w:val="32"/>
          <w:lang w:val="en-US" w:eastAsia="zh-CN"/>
        </w:rPr>
        <w:t>仍按原规定用途继续使用的资金，或项目已完成等产生的结余资金</w:t>
      </w:r>
      <w:r>
        <w:rPr>
          <w:rFonts w:hint="eastAsia" w:ascii="仿宋" w:hAnsi="仿宋" w:eastAsia="仿宋"/>
          <w:sz w:val="32"/>
          <w:szCs w:val="32"/>
        </w:rPr>
        <w:t>。</w:t>
      </w:r>
    </w:p>
    <w:p>
      <w:pPr>
        <w:pStyle w:val="16"/>
        <w:ind w:left="0" w:leftChars="0" w:firstLine="636" w:firstLineChars="199"/>
        <w:rPr>
          <w:rFonts w:hint="default" w:eastAsia="仿宋"/>
          <w:lang w:val="en-US" w:eastAsia="zh-CN"/>
        </w:rPr>
      </w:pPr>
      <w:r>
        <w:rPr>
          <w:rFonts w:hint="eastAsia" w:ascii="仿宋" w:hAnsi="仿宋" w:eastAsia="仿宋"/>
          <w:sz w:val="32"/>
          <w:szCs w:val="32"/>
          <w:lang w:val="en-US" w:eastAsia="zh-CN"/>
        </w:rPr>
        <w:t>七、结余分配：指事业单位按照会计制度规定缴纳的所得税、提取的专用结余以及转入非财政拨款结余的金额等。</w:t>
      </w:r>
    </w:p>
    <w:p>
      <w:pPr>
        <w:ind w:firstLine="659" w:firstLineChars="206"/>
        <w:rPr>
          <w:rFonts w:hint="default" w:ascii="仿宋" w:hAnsi="仿宋" w:eastAsia="仿宋"/>
          <w:sz w:val="32"/>
          <w:szCs w:val="32"/>
          <w:lang w:val="en-US" w:eastAsia="zh-CN"/>
        </w:rPr>
      </w:pPr>
      <w:r>
        <w:rPr>
          <w:rFonts w:hint="eastAsia" w:ascii="仿宋" w:hAnsi="仿宋" w:eastAsia="仿宋"/>
          <w:sz w:val="32"/>
          <w:szCs w:val="32"/>
          <w:lang w:val="en-US" w:eastAsia="zh-CN"/>
        </w:rPr>
        <w:t>八、年末结转和结余：批单位按有关规定结转到下年或以后年度继续使用的资金，或项目已完成等产生的结余资金。</w:t>
      </w:r>
    </w:p>
    <w:p>
      <w:pPr>
        <w:ind w:firstLine="659" w:firstLineChars="206"/>
        <w:rPr>
          <w:rFonts w:hint="eastAsia" w:ascii="仿宋" w:hAnsi="仿宋" w:eastAsia="仿宋"/>
          <w:sz w:val="32"/>
          <w:szCs w:val="32"/>
        </w:rPr>
      </w:pPr>
      <w:r>
        <w:rPr>
          <w:rFonts w:hint="eastAsia" w:ascii="仿宋" w:hAnsi="仿宋" w:eastAsia="仿宋"/>
          <w:sz w:val="32"/>
          <w:szCs w:val="32"/>
          <w:lang w:val="en-US" w:eastAsia="zh-CN"/>
        </w:rPr>
        <w:t>九、</w:t>
      </w:r>
      <w:r>
        <w:rPr>
          <w:rFonts w:hint="eastAsia" w:ascii="仿宋" w:hAnsi="仿宋" w:eastAsia="仿宋"/>
          <w:sz w:val="32"/>
          <w:szCs w:val="32"/>
        </w:rPr>
        <w:t>基本支出：指为保障机构正常运转、完成日常工作任务而发生的人员支出和公用支出。</w:t>
      </w:r>
    </w:p>
    <w:p>
      <w:pPr>
        <w:ind w:firstLine="659" w:firstLineChars="206"/>
        <w:rPr>
          <w:rFonts w:hint="eastAsia" w:ascii="仿宋" w:hAnsi="仿宋" w:eastAsia="仿宋"/>
          <w:sz w:val="32"/>
          <w:szCs w:val="32"/>
        </w:rPr>
      </w:pPr>
      <w:r>
        <w:rPr>
          <w:rFonts w:hint="eastAsia" w:ascii="仿宋" w:hAnsi="仿宋" w:eastAsia="仿宋"/>
          <w:sz w:val="32"/>
          <w:szCs w:val="32"/>
          <w:lang w:val="en-US" w:eastAsia="zh-CN"/>
        </w:rPr>
        <w:t>十、</w:t>
      </w:r>
      <w:r>
        <w:rPr>
          <w:rFonts w:hint="eastAsia" w:ascii="仿宋" w:hAnsi="仿宋" w:eastAsia="仿宋"/>
          <w:sz w:val="32"/>
          <w:szCs w:val="32"/>
        </w:rPr>
        <w:t>项目支出：指在基本支出之外为完成特定行政任务和事业发展目标所发生的支出。</w:t>
      </w:r>
    </w:p>
    <w:p>
      <w:pPr>
        <w:ind w:firstLine="659" w:firstLineChars="206"/>
        <w:rPr>
          <w:rFonts w:hint="eastAsia" w:ascii="仿宋" w:hAnsi="仿宋" w:eastAsia="仿宋"/>
          <w:sz w:val="32"/>
          <w:szCs w:val="32"/>
        </w:rPr>
      </w:pPr>
      <w:r>
        <w:rPr>
          <w:rFonts w:hint="eastAsia" w:ascii="仿宋" w:hAnsi="仿宋" w:eastAsia="仿宋"/>
          <w:sz w:val="32"/>
          <w:szCs w:val="32"/>
          <w:lang w:val="en-US" w:eastAsia="zh-CN"/>
        </w:rPr>
        <w:t>十一、</w:t>
      </w:r>
      <w:r>
        <w:rPr>
          <w:rFonts w:hint="eastAsia" w:ascii="仿宋" w:hAnsi="仿宋" w:eastAsia="仿宋"/>
          <w:sz w:val="32"/>
          <w:szCs w:val="32"/>
        </w:rPr>
        <w:t>“三公”经费：指市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ind w:firstLine="659" w:firstLineChars="206"/>
        <w:rPr>
          <w:rFonts w:ascii="仿宋" w:hAnsi="仿宋" w:eastAsia="仿宋"/>
          <w:sz w:val="32"/>
          <w:szCs w:val="32"/>
        </w:rPr>
      </w:pPr>
      <w:r>
        <w:rPr>
          <w:rFonts w:hint="eastAsia" w:ascii="仿宋" w:hAnsi="仿宋" w:eastAsia="仿宋"/>
          <w:sz w:val="32"/>
          <w:szCs w:val="32"/>
          <w:lang w:val="en-US" w:eastAsia="zh-CN"/>
        </w:rPr>
        <w:t>十二、</w:t>
      </w:r>
      <w:r>
        <w:rPr>
          <w:rFonts w:hint="eastAsia" w:ascii="仿宋" w:hAnsi="仿宋" w:eastAsia="仿宋"/>
          <w:sz w:val="32"/>
          <w:szCs w:val="32"/>
        </w:rPr>
        <w:t>机关运行经费：指行政单位和参照公务员法管理的事业单位使用一般公共预算安排的基本支出中的日常公用经费支出。</w:t>
      </w:r>
    </w:p>
    <w:p/>
    <w:sectPr>
      <w:pgSz w:w="11906" w:h="16838"/>
      <w:pgMar w:top="1440" w:right="849" w:bottom="1440" w:left="99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粗黑宋简体">
    <w:altName w:val="宋体"/>
    <w:panose1 w:val="02000000000000000000"/>
    <w:charset w:val="86"/>
    <w:family w:val="auto"/>
    <w:pitch w:val="default"/>
    <w:sig w:usb0="00000000" w:usb1="00000000" w:usb2="00000012"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roma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312B95"/>
    <w:multiLevelType w:val="singleLevel"/>
    <w:tmpl w:val="8B312B95"/>
    <w:lvl w:ilvl="0" w:tentative="0">
      <w:start w:val="2"/>
      <w:numFmt w:val="decimal"/>
      <w:suff w:val="nothing"/>
      <w:lvlText w:val="%1、"/>
      <w:lvlJc w:val="left"/>
    </w:lvl>
  </w:abstractNum>
  <w:abstractNum w:abstractNumId="1">
    <w:nsid w:val="91119644"/>
    <w:multiLevelType w:val="singleLevel"/>
    <w:tmpl w:val="91119644"/>
    <w:lvl w:ilvl="0" w:tentative="0">
      <w:start w:val="2"/>
      <w:numFmt w:val="chineseCounting"/>
      <w:suff w:val="nothing"/>
      <w:lvlText w:val="（%1）"/>
      <w:lvlJc w:val="left"/>
      <w:rPr>
        <w:rFonts w:hint="eastAsia"/>
      </w:rPr>
    </w:lvl>
  </w:abstractNum>
  <w:abstractNum w:abstractNumId="2">
    <w:nsid w:val="19936573"/>
    <w:multiLevelType w:val="multilevel"/>
    <w:tmpl w:val="19936573"/>
    <w:lvl w:ilvl="0" w:tentative="0">
      <w:start w:val="1"/>
      <w:numFmt w:val="japaneseCounting"/>
      <w:lvlText w:val="%1、"/>
      <w:lvlJc w:val="left"/>
      <w:pPr>
        <w:ind w:left="660" w:hanging="6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1CF3FA3"/>
    <w:multiLevelType w:val="multilevel"/>
    <w:tmpl w:val="51CF3FA3"/>
    <w:lvl w:ilvl="0" w:tentative="0">
      <w:start w:val="1"/>
      <w:numFmt w:val="japaneseCounting"/>
      <w:lvlText w:val="（%1）"/>
      <w:lvlJc w:val="left"/>
      <w:pPr>
        <w:ind w:left="1740" w:hanging="1080"/>
      </w:pPr>
      <w:rPr>
        <w:rFonts w:hint="default"/>
      </w:rPr>
    </w:lvl>
    <w:lvl w:ilvl="1" w:tentative="0">
      <w:start w:val="1"/>
      <w:numFmt w:val="lowerLetter"/>
      <w:lvlText w:val="%2)"/>
      <w:lvlJc w:val="left"/>
      <w:pPr>
        <w:ind w:left="1500" w:hanging="420"/>
      </w:pPr>
    </w:lvl>
    <w:lvl w:ilvl="2" w:tentative="0">
      <w:start w:val="1"/>
      <w:numFmt w:val="lowerRoman"/>
      <w:lvlText w:val="%3."/>
      <w:lvlJc w:val="right"/>
      <w:pPr>
        <w:ind w:left="1920" w:hanging="420"/>
      </w:pPr>
    </w:lvl>
    <w:lvl w:ilvl="3" w:tentative="0">
      <w:start w:val="1"/>
      <w:numFmt w:val="decimal"/>
      <w:lvlText w:val="%4."/>
      <w:lvlJc w:val="left"/>
      <w:pPr>
        <w:ind w:left="2340" w:hanging="420"/>
      </w:pPr>
    </w:lvl>
    <w:lvl w:ilvl="4" w:tentative="0">
      <w:start w:val="1"/>
      <w:numFmt w:val="lowerLetter"/>
      <w:lvlText w:val="%5)"/>
      <w:lvlJc w:val="left"/>
      <w:pPr>
        <w:ind w:left="2760" w:hanging="420"/>
      </w:pPr>
    </w:lvl>
    <w:lvl w:ilvl="5" w:tentative="0">
      <w:start w:val="1"/>
      <w:numFmt w:val="lowerRoman"/>
      <w:lvlText w:val="%6."/>
      <w:lvlJc w:val="right"/>
      <w:pPr>
        <w:ind w:left="3180" w:hanging="420"/>
      </w:pPr>
    </w:lvl>
    <w:lvl w:ilvl="6" w:tentative="0">
      <w:start w:val="1"/>
      <w:numFmt w:val="decimal"/>
      <w:lvlText w:val="%7."/>
      <w:lvlJc w:val="left"/>
      <w:pPr>
        <w:ind w:left="3600" w:hanging="420"/>
      </w:pPr>
    </w:lvl>
    <w:lvl w:ilvl="7" w:tentative="0">
      <w:start w:val="1"/>
      <w:numFmt w:val="lowerLetter"/>
      <w:lvlText w:val="%8)"/>
      <w:lvlJc w:val="left"/>
      <w:pPr>
        <w:ind w:left="4020" w:hanging="420"/>
      </w:pPr>
    </w:lvl>
    <w:lvl w:ilvl="8" w:tentative="0">
      <w:start w:val="1"/>
      <w:numFmt w:val="lowerRoman"/>
      <w:lvlText w:val="%9."/>
      <w:lvlJc w:val="right"/>
      <w:pPr>
        <w:ind w:left="4440" w:hanging="420"/>
      </w:pPr>
    </w:lvl>
  </w:abstractNum>
  <w:abstractNum w:abstractNumId="4">
    <w:nsid w:val="7D5B04C0"/>
    <w:multiLevelType w:val="singleLevel"/>
    <w:tmpl w:val="7D5B04C0"/>
    <w:lvl w:ilvl="0" w:tentative="0">
      <w:start w:val="1"/>
      <w:numFmt w:val="decimal"/>
      <w:suff w:val="nothing"/>
      <w:lvlText w:val="（%1）"/>
      <w:lvlJc w:val="left"/>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VkMTJkODFkYTg4OTAwNDZlNDQwMDE2M2JkNTRhODQifQ=="/>
  </w:docVars>
  <w:rsids>
    <w:rsidRoot w:val="00B3095C"/>
    <w:rsid w:val="000242E6"/>
    <w:rsid w:val="000A70F9"/>
    <w:rsid w:val="00136224"/>
    <w:rsid w:val="00194CCF"/>
    <w:rsid w:val="001A6BB9"/>
    <w:rsid w:val="00246E4A"/>
    <w:rsid w:val="002A50CE"/>
    <w:rsid w:val="00393619"/>
    <w:rsid w:val="003E170E"/>
    <w:rsid w:val="00510FF7"/>
    <w:rsid w:val="00527A10"/>
    <w:rsid w:val="00582C97"/>
    <w:rsid w:val="005D51F9"/>
    <w:rsid w:val="006771C9"/>
    <w:rsid w:val="00683F4A"/>
    <w:rsid w:val="007121F5"/>
    <w:rsid w:val="00734DA1"/>
    <w:rsid w:val="007523CD"/>
    <w:rsid w:val="007A454E"/>
    <w:rsid w:val="007B6160"/>
    <w:rsid w:val="007C160C"/>
    <w:rsid w:val="008634A2"/>
    <w:rsid w:val="008C7241"/>
    <w:rsid w:val="009B76BA"/>
    <w:rsid w:val="009E30CD"/>
    <w:rsid w:val="00A906B2"/>
    <w:rsid w:val="00B3095C"/>
    <w:rsid w:val="00B66682"/>
    <w:rsid w:val="00B66899"/>
    <w:rsid w:val="00B72751"/>
    <w:rsid w:val="00C14D0B"/>
    <w:rsid w:val="00C51C6D"/>
    <w:rsid w:val="00D27C10"/>
    <w:rsid w:val="00DC0B5C"/>
    <w:rsid w:val="00DC1C4A"/>
    <w:rsid w:val="00DD7EFD"/>
    <w:rsid w:val="00DE1B2F"/>
    <w:rsid w:val="00DF300F"/>
    <w:rsid w:val="00E23F95"/>
    <w:rsid w:val="00E61744"/>
    <w:rsid w:val="00E8426E"/>
    <w:rsid w:val="00EC0597"/>
    <w:rsid w:val="00ED796A"/>
    <w:rsid w:val="00F96E8F"/>
    <w:rsid w:val="00FF0F9A"/>
    <w:rsid w:val="00FF2A3A"/>
    <w:rsid w:val="07F63AD3"/>
    <w:rsid w:val="0A2166F7"/>
    <w:rsid w:val="0B6851B6"/>
    <w:rsid w:val="102B26DC"/>
    <w:rsid w:val="11E35BE4"/>
    <w:rsid w:val="11EC4AAE"/>
    <w:rsid w:val="14DC156D"/>
    <w:rsid w:val="164A6B7F"/>
    <w:rsid w:val="19917187"/>
    <w:rsid w:val="1C2827CB"/>
    <w:rsid w:val="1CFF2A93"/>
    <w:rsid w:val="278E7F91"/>
    <w:rsid w:val="2DCE076A"/>
    <w:rsid w:val="31452172"/>
    <w:rsid w:val="31BB723F"/>
    <w:rsid w:val="35321059"/>
    <w:rsid w:val="39A94468"/>
    <w:rsid w:val="3B941949"/>
    <w:rsid w:val="46486FED"/>
    <w:rsid w:val="475871CF"/>
    <w:rsid w:val="4DC30F74"/>
    <w:rsid w:val="4FFB4571"/>
    <w:rsid w:val="50216D25"/>
    <w:rsid w:val="54636A6A"/>
    <w:rsid w:val="54840725"/>
    <w:rsid w:val="5CD73354"/>
    <w:rsid w:val="5E3E2C2E"/>
    <w:rsid w:val="62646533"/>
    <w:rsid w:val="648B1196"/>
    <w:rsid w:val="693B13D9"/>
    <w:rsid w:val="6F546671"/>
    <w:rsid w:val="7004636D"/>
    <w:rsid w:val="72EC5113"/>
    <w:rsid w:val="737535CD"/>
    <w:rsid w:val="73C50D7F"/>
    <w:rsid w:val="745F158A"/>
    <w:rsid w:val="78F23A8F"/>
    <w:rsid w:val="79903AF5"/>
    <w:rsid w:val="7D80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2"/>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4"/>
    <w:semiHidden/>
    <w:unhideWhenUsed/>
    <w:qFormat/>
    <w:uiPriority w:val="99"/>
    <w:rPr>
      <w:sz w:val="18"/>
      <w:szCs w:val="18"/>
    </w:rPr>
  </w:style>
  <w:style w:type="paragraph" w:styleId="5">
    <w:name w:val="toc 1"/>
    <w:basedOn w:val="1"/>
    <w:next w:val="1"/>
    <w:unhideWhenUsed/>
    <w:uiPriority w:val="39"/>
  </w:style>
  <w:style w:type="paragraph" w:styleId="6">
    <w:name w:val="toc 2"/>
    <w:basedOn w:val="1"/>
    <w:next w:val="1"/>
    <w:unhideWhenUsed/>
    <w:uiPriority w:val="39"/>
    <w:pPr>
      <w:ind w:left="420" w:leftChars="200"/>
    </w:pPr>
  </w:style>
  <w:style w:type="character" w:styleId="9">
    <w:name w:val="Hyperlink"/>
    <w:basedOn w:val="8"/>
    <w:unhideWhenUsed/>
    <w:qFormat/>
    <w:uiPriority w:val="99"/>
    <w:rPr>
      <w:color w:val="0000FF" w:themeColor="hyperlink"/>
      <w:u w:val="single"/>
      <w14:textFill>
        <w14:solidFill>
          <w14:schemeClr w14:val="hlink"/>
        </w14:solidFill>
      </w14:textFill>
    </w:rPr>
  </w:style>
  <w:style w:type="paragraph" w:styleId="10">
    <w:name w:val="List Paragraph"/>
    <w:basedOn w:val="1"/>
    <w:qFormat/>
    <w:uiPriority w:val="34"/>
    <w:pPr>
      <w:ind w:firstLine="420" w:firstLineChars="200"/>
    </w:pPr>
  </w:style>
  <w:style w:type="character" w:customStyle="1" w:styleId="11">
    <w:name w:val="标题 1 Char"/>
    <w:basedOn w:val="8"/>
    <w:link w:val="2"/>
    <w:uiPriority w:val="9"/>
    <w:rPr>
      <w:b/>
      <w:bCs/>
      <w:kern w:val="44"/>
      <w:sz w:val="44"/>
      <w:szCs w:val="44"/>
    </w:rPr>
  </w:style>
  <w:style w:type="character" w:customStyle="1" w:styleId="12">
    <w:name w:val="标题 2 Char"/>
    <w:basedOn w:val="8"/>
    <w:link w:val="3"/>
    <w:uiPriority w:val="9"/>
    <w:rPr>
      <w:rFonts w:asciiTheme="majorHAnsi" w:hAnsiTheme="majorHAnsi" w:eastAsiaTheme="majorEastAsia" w:cstheme="majorBidi"/>
      <w:b/>
      <w:bCs/>
      <w:sz w:val="32"/>
      <w:szCs w:val="32"/>
    </w:rPr>
  </w:style>
  <w:style w:type="paragraph" w:customStyle="1" w:styleId="13">
    <w:name w:val="TOC Heading"/>
    <w:basedOn w:val="2"/>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14">
    <w:name w:val="批注框文本 Char"/>
    <w:basedOn w:val="8"/>
    <w:link w:val="4"/>
    <w:semiHidden/>
    <w:uiPriority w:val="99"/>
    <w:rPr>
      <w:sz w:val="18"/>
      <w:szCs w:val="18"/>
    </w:rPr>
  </w:style>
  <w:style w:type="paragraph" w:customStyle="1" w:styleId="15">
    <w:name w:val="p0"/>
    <w:basedOn w:val="1"/>
    <w:qFormat/>
    <w:uiPriority w:val="0"/>
    <w:pPr>
      <w:widowControl/>
    </w:pPr>
    <w:rPr>
      <w:rFonts w:ascii="Times New Roman" w:hAnsi="Times New Roman" w:eastAsia="宋体" w:cs="Times New Roman"/>
      <w:kern w:val="0"/>
      <w:szCs w:val="21"/>
    </w:rPr>
  </w:style>
  <w:style w:type="paragraph" w:customStyle="1" w:styleId="16">
    <w:name w:val="TableOfAuthoring"/>
    <w:basedOn w:val="1"/>
    <w:next w:val="1"/>
    <w:qFormat/>
    <w:uiPriority w:val="99"/>
    <w:pPr>
      <w:ind w:left="420" w:leftChars="200"/>
      <w:textAlignment w:val="baseline"/>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1334D7-6D0F-4E30-8A46-4E2C2D559B47}">
  <ds:schemaRefs/>
</ds:datastoreItem>
</file>

<file path=docProps/app.xml><?xml version="1.0" encoding="utf-8"?>
<Properties xmlns="http://schemas.openxmlformats.org/officeDocument/2006/extended-properties" xmlns:vt="http://schemas.openxmlformats.org/officeDocument/2006/docPropsVTypes">
  <Template>Normal</Template>
  <Pages>14</Pages>
  <Words>6234</Words>
  <Characters>6839</Characters>
  <Lines>32</Lines>
  <Paragraphs>9</Paragraphs>
  <TotalTime>0</TotalTime>
  <ScaleCrop>false</ScaleCrop>
  <LinksUpToDate>false</LinksUpToDate>
  <CharactersWithSpaces>6954</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2021-08-13T01:57:00Z</dcterms:created>
  <dc:creator>Administrator</dc:creator>
  <cp:lastModifiedBy>Administrator</cp:lastModifiedBy>
  <dcterms:modified xsi:type="dcterms:W3CDTF">2022-07-26T09:47:41Z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500E9A92652847E29B5AFD3C7A7DE886</vt:lpwstr>
  </property>
</Properties>
</file>